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CellMar>
          <w:top w:w="28" w:type="dxa"/>
          <w:left w:w="57" w:type="dxa"/>
          <w:bottom w:w="28" w:type="dxa"/>
          <w:right w:w="57" w:type="dxa"/>
        </w:tblCellMar>
        <w:tblLook w:val="04A0" w:firstRow="1" w:lastRow="0" w:firstColumn="1" w:lastColumn="0" w:noHBand="0" w:noVBand="1"/>
      </w:tblPr>
      <w:tblGrid>
        <w:gridCol w:w="1758"/>
        <w:gridCol w:w="5670"/>
        <w:gridCol w:w="2041"/>
      </w:tblGrid>
      <w:tr w:rsidR="00D3431F" w:rsidRPr="00475527" w:rsidTr="00E42DD2">
        <w:tc>
          <w:tcPr>
            <w:tcW w:w="1758" w:type="dxa"/>
            <w:vMerge w:val="restart"/>
            <w:tcBorders>
              <w:top w:val="single" w:sz="4" w:space="0" w:color="030303"/>
              <w:left w:val="single" w:sz="4" w:space="0" w:color="030303"/>
              <w:bottom w:val="nil"/>
              <w:right w:val="single" w:sz="4" w:space="0" w:color="030303"/>
            </w:tcBorders>
          </w:tcPr>
          <w:p w:rsidR="00D3431F" w:rsidRPr="00475527" w:rsidRDefault="00E42DD2" w:rsidP="00E42DD2">
            <w:pPr>
              <w:spacing w:before="40" w:after="40"/>
              <w:jc w:val="center"/>
              <w:rPr>
                <w:rFonts w:ascii="Calibri" w:hAnsi="Calibri" w:cs="Calibri"/>
                <w:color w:val="010302"/>
                <w:sz w:val="20"/>
                <w:lang w:val="en-GB"/>
              </w:rPr>
            </w:pPr>
            <w:bookmarkStart w:id="0" w:name="_GoBack"/>
            <w:bookmarkEnd w:id="0"/>
            <w:r w:rsidRPr="00E42DD2">
              <w:rPr>
                <w:rFonts w:ascii="Calibri" w:hAnsi="Calibri" w:cs="Calibri"/>
                <w:b/>
                <w:bCs/>
                <w:color w:val="000000"/>
                <w:sz w:val="20"/>
                <w:szCs w:val="24"/>
                <w:lang w:val="en-GB"/>
              </w:rPr>
              <w:t>MATERIAL RESEARCH LABORATORY</w:t>
            </w:r>
          </w:p>
        </w:tc>
        <w:tc>
          <w:tcPr>
            <w:tcW w:w="5670" w:type="dxa"/>
            <w:vMerge w:val="restart"/>
            <w:tcBorders>
              <w:top w:val="single" w:sz="4" w:space="0" w:color="030303"/>
              <w:left w:val="single" w:sz="4" w:space="0" w:color="030303"/>
              <w:bottom w:val="nil"/>
              <w:right w:val="single" w:sz="4" w:space="0" w:color="030303"/>
            </w:tcBorders>
          </w:tcPr>
          <w:p w:rsidR="00D3431F" w:rsidRPr="00475527" w:rsidRDefault="00E42DD2" w:rsidP="00E42DD2">
            <w:pPr>
              <w:spacing w:before="40" w:after="40"/>
              <w:jc w:val="center"/>
              <w:rPr>
                <w:rFonts w:ascii="Calibri" w:hAnsi="Calibri" w:cs="Calibri"/>
                <w:color w:val="010302"/>
                <w:sz w:val="20"/>
                <w:lang w:val="en-GB"/>
              </w:rPr>
            </w:pPr>
            <w:r>
              <w:rPr>
                <w:rFonts w:ascii="Calibri" w:hAnsi="Calibri" w:cs="Calibri"/>
                <w:b/>
                <w:bCs/>
                <w:color w:val="000000"/>
                <w:sz w:val="20"/>
                <w:szCs w:val="24"/>
                <w:lang w:val="en-GB"/>
              </w:rPr>
              <w:t>QUALITY POLICY</w:t>
            </w:r>
          </w:p>
          <w:p w:rsidR="00D3431F" w:rsidRPr="00475527" w:rsidRDefault="00E42DD2" w:rsidP="00E42DD2">
            <w:pPr>
              <w:spacing w:before="40" w:after="40"/>
              <w:jc w:val="center"/>
              <w:rPr>
                <w:rFonts w:ascii="Calibri" w:hAnsi="Calibri" w:cs="Calibri"/>
                <w:color w:val="010302"/>
                <w:sz w:val="20"/>
                <w:lang w:val="en-GB"/>
              </w:rPr>
            </w:pPr>
            <w:r>
              <w:rPr>
                <w:rFonts w:ascii="Calibri" w:hAnsi="Calibri" w:cs="Calibri"/>
                <w:b/>
                <w:bCs/>
                <w:color w:val="000000"/>
                <w:sz w:val="20"/>
                <w:szCs w:val="24"/>
                <w:lang w:val="en-GB"/>
              </w:rPr>
              <w:t xml:space="preserve">STATEMENT OF </w:t>
            </w:r>
            <w:r w:rsidRPr="00475527">
              <w:rPr>
                <w:rFonts w:ascii="Calibri" w:hAnsi="Calibri" w:cs="Calibri"/>
                <w:b/>
                <w:bCs/>
                <w:color w:val="000000"/>
                <w:sz w:val="20"/>
                <w:szCs w:val="24"/>
                <w:lang w:val="en-GB"/>
              </w:rPr>
              <w:t>NCBJ</w:t>
            </w:r>
            <w:r>
              <w:rPr>
                <w:rFonts w:ascii="Calibri" w:hAnsi="Calibri" w:cs="Calibri"/>
                <w:b/>
                <w:bCs/>
                <w:color w:val="000000"/>
                <w:sz w:val="20"/>
                <w:szCs w:val="24"/>
                <w:lang w:val="en-GB"/>
              </w:rPr>
              <w:t xml:space="preserve"> DIRECTOR</w:t>
            </w:r>
          </w:p>
        </w:tc>
        <w:tc>
          <w:tcPr>
            <w:tcW w:w="2041" w:type="dxa"/>
            <w:tcBorders>
              <w:top w:val="single" w:sz="4" w:space="0" w:color="030303"/>
              <w:left w:val="single" w:sz="4" w:space="0" w:color="030303"/>
              <w:bottom w:val="single" w:sz="4" w:space="0" w:color="030303"/>
              <w:right w:val="single" w:sz="4" w:space="0" w:color="030303"/>
            </w:tcBorders>
          </w:tcPr>
          <w:p w:rsidR="00D3431F" w:rsidRPr="00475527" w:rsidRDefault="00E42DD2" w:rsidP="00E42DD2">
            <w:pPr>
              <w:spacing w:before="40" w:after="40"/>
              <w:rPr>
                <w:rFonts w:ascii="Calibri" w:hAnsi="Calibri" w:cs="Calibri"/>
                <w:color w:val="010302"/>
                <w:sz w:val="20"/>
                <w:lang w:val="en-GB"/>
              </w:rPr>
            </w:pPr>
            <w:r>
              <w:rPr>
                <w:rFonts w:ascii="Calibri" w:hAnsi="Calibri" w:cs="Calibri"/>
                <w:color w:val="000000"/>
                <w:sz w:val="20"/>
                <w:lang w:val="en-GB"/>
              </w:rPr>
              <w:t xml:space="preserve">Annex </w:t>
            </w:r>
            <w:r w:rsidR="00475527" w:rsidRPr="00475527">
              <w:rPr>
                <w:rFonts w:ascii="Calibri" w:hAnsi="Calibri" w:cs="Calibri"/>
                <w:color w:val="000000"/>
                <w:sz w:val="20"/>
                <w:lang w:val="en-GB"/>
              </w:rPr>
              <w:t>4</w:t>
            </w:r>
            <w:r w:rsidR="00475527">
              <w:rPr>
                <w:rFonts w:ascii="Calibri" w:hAnsi="Calibri" w:cs="Calibri"/>
                <w:color w:val="000000"/>
                <w:sz w:val="20"/>
                <w:lang w:val="en-GB"/>
              </w:rPr>
              <w:t xml:space="preserve"> </w:t>
            </w:r>
          </w:p>
        </w:tc>
      </w:tr>
      <w:tr w:rsidR="00D3431F" w:rsidRPr="00475527" w:rsidTr="00E42DD2">
        <w:tc>
          <w:tcPr>
            <w:tcW w:w="1758" w:type="dxa"/>
            <w:vMerge/>
            <w:tcBorders>
              <w:top w:val="nil"/>
              <w:left w:val="single" w:sz="4" w:space="0" w:color="030303"/>
              <w:bottom w:val="nil"/>
              <w:right w:val="single" w:sz="4" w:space="0" w:color="030303"/>
            </w:tcBorders>
          </w:tcPr>
          <w:p w:rsidR="00D3431F" w:rsidRPr="00475527" w:rsidRDefault="00D3431F" w:rsidP="00E42DD2">
            <w:pPr>
              <w:spacing w:before="40" w:after="40"/>
              <w:rPr>
                <w:rFonts w:ascii="Calibri" w:hAnsi="Calibri" w:cs="Calibri"/>
                <w:color w:val="000000" w:themeColor="text1"/>
                <w:sz w:val="20"/>
                <w:szCs w:val="24"/>
                <w:lang w:val="en-GB"/>
              </w:rPr>
            </w:pPr>
          </w:p>
        </w:tc>
        <w:tc>
          <w:tcPr>
            <w:tcW w:w="5670" w:type="dxa"/>
            <w:vMerge/>
            <w:tcBorders>
              <w:top w:val="nil"/>
              <w:left w:val="single" w:sz="4" w:space="0" w:color="030303"/>
              <w:bottom w:val="nil"/>
              <w:right w:val="single" w:sz="4" w:space="0" w:color="030303"/>
            </w:tcBorders>
          </w:tcPr>
          <w:p w:rsidR="00D3431F" w:rsidRPr="00475527" w:rsidRDefault="00D3431F" w:rsidP="00E42DD2">
            <w:pPr>
              <w:spacing w:before="40" w:after="40"/>
              <w:rPr>
                <w:rFonts w:ascii="Calibri" w:hAnsi="Calibri" w:cs="Calibri"/>
                <w:color w:val="000000" w:themeColor="text1"/>
                <w:sz w:val="20"/>
                <w:szCs w:val="24"/>
                <w:lang w:val="en-GB"/>
              </w:rPr>
            </w:pPr>
          </w:p>
        </w:tc>
        <w:tc>
          <w:tcPr>
            <w:tcW w:w="2041" w:type="dxa"/>
            <w:tcBorders>
              <w:top w:val="single" w:sz="4" w:space="0" w:color="030303"/>
              <w:left w:val="single" w:sz="4" w:space="0" w:color="030303"/>
              <w:bottom w:val="single" w:sz="4" w:space="0" w:color="030303"/>
              <w:right w:val="single" w:sz="4" w:space="0" w:color="030303"/>
            </w:tcBorders>
          </w:tcPr>
          <w:p w:rsidR="00D3431F" w:rsidRPr="00475527" w:rsidRDefault="00E42DD2" w:rsidP="00E42DD2">
            <w:pPr>
              <w:spacing w:before="40" w:after="40"/>
              <w:rPr>
                <w:rFonts w:ascii="Calibri" w:hAnsi="Calibri" w:cs="Calibri"/>
                <w:color w:val="010302"/>
                <w:sz w:val="20"/>
                <w:lang w:val="en-GB"/>
              </w:rPr>
            </w:pPr>
            <w:r>
              <w:rPr>
                <w:rFonts w:ascii="Calibri" w:hAnsi="Calibri" w:cs="Calibri"/>
                <w:color w:val="000000"/>
                <w:sz w:val="20"/>
                <w:lang w:val="en-GB"/>
              </w:rPr>
              <w:t xml:space="preserve">Revision </w:t>
            </w:r>
            <w:r w:rsidR="00475527" w:rsidRPr="00475527">
              <w:rPr>
                <w:rFonts w:ascii="Calibri" w:hAnsi="Calibri" w:cs="Calibri"/>
                <w:color w:val="000000"/>
                <w:sz w:val="20"/>
                <w:lang w:val="en-GB"/>
              </w:rPr>
              <w:t>1, 2020-01-10</w:t>
            </w:r>
            <w:r w:rsidR="00475527">
              <w:rPr>
                <w:rFonts w:ascii="Calibri" w:hAnsi="Calibri" w:cs="Calibri"/>
                <w:color w:val="000000"/>
                <w:sz w:val="20"/>
                <w:lang w:val="en-GB"/>
              </w:rPr>
              <w:t xml:space="preserve"> </w:t>
            </w:r>
          </w:p>
        </w:tc>
      </w:tr>
      <w:tr w:rsidR="00D3431F" w:rsidRPr="00475527" w:rsidTr="00E42DD2">
        <w:tc>
          <w:tcPr>
            <w:tcW w:w="1758" w:type="dxa"/>
            <w:vMerge/>
            <w:tcBorders>
              <w:top w:val="nil"/>
              <w:left w:val="single" w:sz="4" w:space="0" w:color="030303"/>
              <w:bottom w:val="single" w:sz="4" w:space="0" w:color="030303"/>
              <w:right w:val="single" w:sz="4" w:space="0" w:color="030303"/>
            </w:tcBorders>
          </w:tcPr>
          <w:p w:rsidR="00D3431F" w:rsidRPr="00475527" w:rsidRDefault="00D3431F" w:rsidP="00E42DD2">
            <w:pPr>
              <w:spacing w:before="40" w:after="40"/>
              <w:rPr>
                <w:rFonts w:ascii="Calibri" w:hAnsi="Calibri" w:cs="Calibri"/>
                <w:color w:val="000000" w:themeColor="text1"/>
                <w:sz w:val="20"/>
                <w:szCs w:val="24"/>
                <w:lang w:val="en-GB"/>
              </w:rPr>
            </w:pPr>
          </w:p>
        </w:tc>
        <w:tc>
          <w:tcPr>
            <w:tcW w:w="5670" w:type="dxa"/>
            <w:vMerge/>
            <w:tcBorders>
              <w:top w:val="nil"/>
              <w:left w:val="single" w:sz="4" w:space="0" w:color="030303"/>
              <w:bottom w:val="single" w:sz="4" w:space="0" w:color="030303"/>
              <w:right w:val="single" w:sz="4" w:space="0" w:color="030303"/>
            </w:tcBorders>
          </w:tcPr>
          <w:p w:rsidR="00D3431F" w:rsidRPr="00475527" w:rsidRDefault="00D3431F" w:rsidP="00E42DD2">
            <w:pPr>
              <w:spacing w:before="40" w:after="40"/>
              <w:rPr>
                <w:rFonts w:ascii="Calibri" w:hAnsi="Calibri" w:cs="Calibri"/>
                <w:color w:val="000000" w:themeColor="text1"/>
                <w:sz w:val="20"/>
                <w:szCs w:val="24"/>
                <w:lang w:val="en-GB"/>
              </w:rPr>
            </w:pPr>
          </w:p>
        </w:tc>
        <w:tc>
          <w:tcPr>
            <w:tcW w:w="2041" w:type="dxa"/>
            <w:tcBorders>
              <w:top w:val="single" w:sz="4" w:space="0" w:color="030303"/>
              <w:left w:val="single" w:sz="4" w:space="0" w:color="030303"/>
              <w:bottom w:val="single" w:sz="4" w:space="0" w:color="030303"/>
              <w:right w:val="single" w:sz="4" w:space="0" w:color="030303"/>
            </w:tcBorders>
          </w:tcPr>
          <w:p w:rsidR="00D3431F" w:rsidRPr="00475527" w:rsidRDefault="00E42DD2" w:rsidP="00E42DD2">
            <w:pPr>
              <w:spacing w:before="40" w:after="40"/>
              <w:rPr>
                <w:rFonts w:ascii="Calibri" w:hAnsi="Calibri" w:cs="Calibri"/>
                <w:color w:val="010302"/>
                <w:sz w:val="20"/>
                <w:lang w:val="en-GB"/>
              </w:rPr>
            </w:pPr>
            <w:r>
              <w:rPr>
                <w:rFonts w:ascii="Calibri" w:hAnsi="Calibri" w:cs="Calibri"/>
                <w:color w:val="000000"/>
                <w:sz w:val="20"/>
                <w:lang w:val="en-GB"/>
              </w:rPr>
              <w:t xml:space="preserve">Page </w:t>
            </w:r>
            <w:r w:rsidR="00475527" w:rsidRPr="00475527">
              <w:rPr>
                <w:rFonts w:ascii="Calibri" w:hAnsi="Calibri" w:cs="Calibri"/>
                <w:color w:val="000000"/>
                <w:sz w:val="20"/>
                <w:szCs w:val="24"/>
                <w:lang w:val="en-GB"/>
              </w:rPr>
              <w:t>1/1</w:t>
            </w:r>
            <w:r w:rsidR="00475527">
              <w:rPr>
                <w:rFonts w:ascii="Calibri" w:hAnsi="Calibri" w:cs="Calibri"/>
                <w:color w:val="000000"/>
                <w:sz w:val="20"/>
                <w:lang w:val="en-GB"/>
              </w:rPr>
              <w:t xml:space="preserve"> </w:t>
            </w:r>
          </w:p>
        </w:tc>
      </w:tr>
      <w:tr w:rsidR="00D3431F" w:rsidRPr="00475527" w:rsidTr="00E42DD2">
        <w:tc>
          <w:tcPr>
            <w:tcW w:w="9469" w:type="dxa"/>
            <w:gridSpan w:val="3"/>
            <w:tcBorders>
              <w:top w:val="single" w:sz="4" w:space="0" w:color="030303"/>
              <w:left w:val="single" w:sz="4" w:space="0" w:color="030303"/>
              <w:bottom w:val="single" w:sz="4" w:space="0" w:color="030303"/>
              <w:right w:val="single" w:sz="4" w:space="0" w:color="030303"/>
            </w:tcBorders>
          </w:tcPr>
          <w:p w:rsidR="00D3431F" w:rsidRPr="00475527" w:rsidRDefault="00E42DD2" w:rsidP="00E42DD2">
            <w:pPr>
              <w:spacing w:before="40" w:after="40"/>
              <w:jc w:val="center"/>
              <w:rPr>
                <w:rFonts w:ascii="Calibri" w:hAnsi="Calibri" w:cs="Calibri"/>
                <w:color w:val="010302"/>
                <w:sz w:val="20"/>
                <w:lang w:val="en-GB"/>
              </w:rPr>
            </w:pPr>
            <w:r>
              <w:rPr>
                <w:rFonts w:ascii="Calibri" w:hAnsi="Calibri" w:cs="Calibri"/>
                <w:b/>
                <w:bCs/>
                <w:color w:val="000000"/>
                <w:sz w:val="20"/>
                <w:szCs w:val="24"/>
                <w:lang w:val="en-GB"/>
              </w:rPr>
              <w:t xml:space="preserve">QUALITY MANUAL, revision </w:t>
            </w:r>
            <w:r w:rsidR="00475527" w:rsidRPr="00475527">
              <w:rPr>
                <w:rFonts w:ascii="Calibri" w:hAnsi="Calibri" w:cs="Calibri"/>
                <w:b/>
                <w:bCs/>
                <w:color w:val="000000"/>
                <w:sz w:val="20"/>
                <w:szCs w:val="24"/>
                <w:lang w:val="en-GB"/>
              </w:rPr>
              <w:t>13</w:t>
            </w:r>
          </w:p>
        </w:tc>
      </w:tr>
    </w:tbl>
    <w:p w:rsidR="00E42DD2" w:rsidRDefault="00E42DD2" w:rsidP="00475527">
      <w:pPr>
        <w:spacing w:after="120"/>
        <w:rPr>
          <w:rFonts w:ascii="Calibri" w:hAnsi="Calibri" w:cs="Calibri"/>
          <w:color w:val="000000"/>
          <w:sz w:val="20"/>
          <w:szCs w:val="19"/>
          <w:lang w:val="en-GB"/>
        </w:rPr>
      </w:pPr>
    </w:p>
    <w:p w:rsidR="00E42DD2" w:rsidRPr="00E42DD2" w:rsidRDefault="00E42DD2" w:rsidP="00E42DD2">
      <w:pPr>
        <w:spacing w:after="120"/>
        <w:jc w:val="both"/>
        <w:rPr>
          <w:rFonts w:ascii="Calibri" w:hAnsi="Calibri" w:cs="Calibri"/>
          <w:sz w:val="20"/>
          <w:lang w:val="en-GB"/>
        </w:rPr>
      </w:pPr>
      <w:r w:rsidRPr="00E42DD2">
        <w:rPr>
          <w:rFonts w:ascii="Calibri" w:hAnsi="Calibri" w:cs="Calibri"/>
          <w:sz w:val="20"/>
          <w:lang w:val="en-GB"/>
        </w:rPr>
        <w:t xml:space="preserve">The </w:t>
      </w:r>
      <w:r>
        <w:rPr>
          <w:rFonts w:ascii="Calibri" w:hAnsi="Calibri" w:cs="Calibri"/>
          <w:sz w:val="20"/>
          <w:lang w:val="en-GB"/>
        </w:rPr>
        <w:t xml:space="preserve">objective </w:t>
      </w:r>
      <w:r w:rsidRPr="00E42DD2">
        <w:rPr>
          <w:rFonts w:ascii="Calibri" w:hAnsi="Calibri" w:cs="Calibri"/>
          <w:sz w:val="20"/>
          <w:lang w:val="en-GB"/>
        </w:rPr>
        <w:t>of the NCBJ Material Research Laboratory is to provide high-quality services by implementing, maintaining and improving the management system in accordance with the requirements of PN-EN ISO / IEC 17025: 2018-02.</w:t>
      </w:r>
    </w:p>
    <w:p w:rsidR="00E42DD2" w:rsidRPr="00E42DD2" w:rsidRDefault="00E42DD2" w:rsidP="00E42DD2">
      <w:pPr>
        <w:spacing w:after="120"/>
        <w:jc w:val="both"/>
        <w:rPr>
          <w:rFonts w:ascii="Calibri" w:hAnsi="Calibri" w:cs="Calibri"/>
          <w:sz w:val="20"/>
          <w:lang w:val="en-GB"/>
        </w:rPr>
      </w:pPr>
      <w:r w:rsidRPr="00E42DD2">
        <w:rPr>
          <w:rFonts w:ascii="Calibri" w:hAnsi="Calibri" w:cs="Calibri"/>
          <w:sz w:val="20"/>
          <w:lang w:val="en-GB"/>
        </w:rPr>
        <w:t>The pursuit of this goal occurs (</w:t>
      </w:r>
      <w:r>
        <w:rPr>
          <w:rFonts w:ascii="Calibri" w:hAnsi="Calibri" w:cs="Calibri"/>
          <w:sz w:val="20"/>
          <w:lang w:val="en-GB"/>
        </w:rPr>
        <w:t>among others</w:t>
      </w:r>
      <w:r w:rsidRPr="00E42DD2">
        <w:rPr>
          <w:rFonts w:ascii="Calibri" w:hAnsi="Calibri" w:cs="Calibri"/>
          <w:sz w:val="20"/>
          <w:lang w:val="en-GB"/>
        </w:rPr>
        <w:t>) through:</w:t>
      </w:r>
    </w:p>
    <w:p w:rsidR="00E42DD2" w:rsidRPr="00E42DD2" w:rsidRDefault="00E42DD2" w:rsidP="00E42DD2">
      <w:pPr>
        <w:pStyle w:val="Akapitzlist"/>
        <w:numPr>
          <w:ilvl w:val="0"/>
          <w:numId w:val="1"/>
        </w:numPr>
        <w:spacing w:after="60"/>
        <w:ind w:left="568" w:hanging="284"/>
        <w:contextualSpacing/>
        <w:jc w:val="both"/>
        <w:rPr>
          <w:rFonts w:ascii="Calibri" w:hAnsi="Calibri" w:cs="Calibri"/>
          <w:sz w:val="20"/>
          <w:lang w:val="en-GB"/>
        </w:rPr>
      </w:pPr>
      <w:r w:rsidRPr="00E42DD2">
        <w:rPr>
          <w:rFonts w:ascii="Calibri" w:hAnsi="Calibri" w:cs="Calibri"/>
          <w:sz w:val="20"/>
          <w:lang w:val="en-GB"/>
        </w:rPr>
        <w:t>systematic improvement of personnel competences through participation in external and internal training,</w:t>
      </w:r>
    </w:p>
    <w:p w:rsidR="00E42DD2" w:rsidRPr="00E42DD2" w:rsidRDefault="00E42DD2" w:rsidP="00E42DD2">
      <w:pPr>
        <w:pStyle w:val="Akapitzlist"/>
        <w:numPr>
          <w:ilvl w:val="0"/>
          <w:numId w:val="1"/>
        </w:numPr>
        <w:spacing w:after="60"/>
        <w:ind w:left="568" w:hanging="284"/>
        <w:contextualSpacing/>
        <w:jc w:val="both"/>
        <w:rPr>
          <w:rFonts w:ascii="Calibri" w:hAnsi="Calibri" w:cs="Calibri"/>
          <w:sz w:val="20"/>
          <w:lang w:val="en-GB"/>
        </w:rPr>
      </w:pPr>
      <w:r w:rsidRPr="00E42DD2">
        <w:rPr>
          <w:rFonts w:ascii="Calibri" w:hAnsi="Calibri" w:cs="Calibri"/>
          <w:sz w:val="20"/>
          <w:lang w:val="en-GB"/>
        </w:rPr>
        <w:t>development of the range of services offered,</w:t>
      </w:r>
    </w:p>
    <w:p w:rsidR="00E42DD2" w:rsidRPr="00E42DD2" w:rsidRDefault="00E42DD2" w:rsidP="00E42DD2">
      <w:pPr>
        <w:pStyle w:val="Akapitzlist"/>
        <w:numPr>
          <w:ilvl w:val="0"/>
          <w:numId w:val="1"/>
        </w:numPr>
        <w:spacing w:after="60"/>
        <w:ind w:left="568" w:hanging="284"/>
        <w:contextualSpacing/>
        <w:jc w:val="both"/>
        <w:rPr>
          <w:rFonts w:ascii="Calibri" w:hAnsi="Calibri" w:cs="Calibri"/>
          <w:sz w:val="20"/>
          <w:lang w:val="en-GB"/>
        </w:rPr>
      </w:pPr>
      <w:r w:rsidRPr="00E42DD2">
        <w:rPr>
          <w:rFonts w:ascii="Calibri" w:hAnsi="Calibri" w:cs="Calibri"/>
          <w:sz w:val="20"/>
          <w:lang w:val="en-GB"/>
        </w:rPr>
        <w:t>continuous modernisation and increasing the reliability of measuring equipment,</w:t>
      </w:r>
    </w:p>
    <w:p w:rsidR="00E42DD2" w:rsidRPr="00E42DD2" w:rsidRDefault="00E42DD2" w:rsidP="00E42DD2">
      <w:pPr>
        <w:pStyle w:val="Akapitzlist"/>
        <w:numPr>
          <w:ilvl w:val="0"/>
          <w:numId w:val="1"/>
        </w:numPr>
        <w:spacing w:after="60"/>
        <w:ind w:left="568" w:hanging="284"/>
        <w:contextualSpacing/>
        <w:jc w:val="both"/>
        <w:rPr>
          <w:rFonts w:ascii="Calibri" w:hAnsi="Calibri" w:cs="Calibri"/>
          <w:sz w:val="20"/>
          <w:lang w:val="en-GB"/>
        </w:rPr>
      </w:pPr>
      <w:r w:rsidRPr="00E42DD2">
        <w:rPr>
          <w:rFonts w:ascii="Calibri" w:hAnsi="Calibri" w:cs="Calibri"/>
          <w:sz w:val="20"/>
          <w:lang w:val="en-GB"/>
        </w:rPr>
        <w:t>providing human and technical resources to achieve the above goals,</w:t>
      </w:r>
    </w:p>
    <w:p w:rsidR="00E42DD2" w:rsidRPr="00E42DD2" w:rsidRDefault="00E42DD2" w:rsidP="00E42DD2">
      <w:pPr>
        <w:pStyle w:val="Akapitzlist"/>
        <w:numPr>
          <w:ilvl w:val="0"/>
          <w:numId w:val="1"/>
        </w:numPr>
        <w:spacing w:after="60"/>
        <w:ind w:left="568" w:hanging="284"/>
        <w:contextualSpacing/>
        <w:jc w:val="both"/>
        <w:rPr>
          <w:rFonts w:ascii="Calibri" w:hAnsi="Calibri" w:cs="Calibri"/>
          <w:sz w:val="20"/>
          <w:lang w:val="en-GB"/>
        </w:rPr>
      </w:pPr>
      <w:r w:rsidRPr="00E42DD2">
        <w:rPr>
          <w:rFonts w:ascii="Calibri" w:hAnsi="Calibri" w:cs="Calibri"/>
          <w:sz w:val="20"/>
          <w:lang w:val="en-GB"/>
        </w:rPr>
        <w:t>ensuring to Customers the confidentiality of information generated or obtained in the course of laboratory activities, except for cases required by law or contractual provisions,</w:t>
      </w:r>
    </w:p>
    <w:p w:rsidR="00E42DD2" w:rsidRPr="00E42DD2" w:rsidRDefault="00E42DD2" w:rsidP="00E42DD2">
      <w:pPr>
        <w:pStyle w:val="Akapitzlist"/>
        <w:numPr>
          <w:ilvl w:val="0"/>
          <w:numId w:val="1"/>
        </w:numPr>
        <w:spacing w:after="60"/>
        <w:ind w:left="568" w:hanging="284"/>
        <w:contextualSpacing/>
        <w:jc w:val="both"/>
        <w:rPr>
          <w:rFonts w:ascii="Calibri" w:hAnsi="Calibri" w:cs="Calibri"/>
          <w:sz w:val="20"/>
          <w:lang w:val="en-GB"/>
        </w:rPr>
      </w:pPr>
      <w:r w:rsidRPr="00E42DD2">
        <w:rPr>
          <w:rFonts w:ascii="Calibri" w:hAnsi="Calibri" w:cs="Calibri"/>
          <w:sz w:val="20"/>
          <w:lang w:val="en-GB"/>
        </w:rPr>
        <w:t>impartial organisation and management of laboratory activities,</w:t>
      </w:r>
    </w:p>
    <w:p w:rsidR="00E42DD2" w:rsidRPr="00E42DD2" w:rsidRDefault="00E42DD2" w:rsidP="00E42DD2">
      <w:pPr>
        <w:pStyle w:val="Akapitzlist"/>
        <w:numPr>
          <w:ilvl w:val="0"/>
          <w:numId w:val="1"/>
        </w:numPr>
        <w:spacing w:after="60"/>
        <w:ind w:left="568" w:hanging="284"/>
        <w:contextualSpacing/>
        <w:jc w:val="both"/>
        <w:rPr>
          <w:rFonts w:ascii="Calibri" w:hAnsi="Calibri" w:cs="Calibri"/>
          <w:sz w:val="20"/>
          <w:lang w:val="en-GB"/>
        </w:rPr>
      </w:pPr>
      <w:r w:rsidRPr="00E42DD2">
        <w:rPr>
          <w:rFonts w:ascii="Calibri" w:hAnsi="Calibri" w:cs="Calibri"/>
          <w:sz w:val="20"/>
          <w:lang w:val="en-GB"/>
        </w:rPr>
        <w:t>accounting for risks and opportunities in improving the management system.</w:t>
      </w:r>
    </w:p>
    <w:p w:rsidR="00E42DD2" w:rsidRPr="00E42DD2" w:rsidRDefault="00E42DD2" w:rsidP="00E42DD2">
      <w:pPr>
        <w:spacing w:after="120"/>
        <w:jc w:val="both"/>
        <w:rPr>
          <w:rFonts w:ascii="Calibri" w:hAnsi="Calibri" w:cs="Calibri"/>
          <w:sz w:val="20"/>
          <w:lang w:val="en-GB"/>
        </w:rPr>
      </w:pPr>
      <w:r w:rsidRPr="00E42DD2">
        <w:rPr>
          <w:rFonts w:ascii="Calibri" w:hAnsi="Calibri" w:cs="Calibri"/>
          <w:sz w:val="20"/>
          <w:lang w:val="en-GB"/>
        </w:rPr>
        <w:t>The accreditation certificates obtained by the Laboratory and the continuous development of the scope of services covered by the accreditation and provided by the Laboratory confirm its high competence.</w:t>
      </w:r>
    </w:p>
    <w:p w:rsidR="00E42DD2" w:rsidRPr="00E42DD2" w:rsidRDefault="00E42DD2" w:rsidP="00E42DD2">
      <w:pPr>
        <w:spacing w:after="120"/>
        <w:jc w:val="both"/>
        <w:rPr>
          <w:rFonts w:ascii="Calibri" w:hAnsi="Calibri" w:cs="Calibri"/>
          <w:sz w:val="20"/>
          <w:lang w:val="en-GB"/>
        </w:rPr>
      </w:pPr>
      <w:r w:rsidRPr="00E42DD2">
        <w:rPr>
          <w:rFonts w:ascii="Calibri" w:hAnsi="Calibri" w:cs="Calibri"/>
          <w:sz w:val="20"/>
          <w:lang w:val="en-GB"/>
        </w:rPr>
        <w:t>LBM staff knows and applies the Quality Policy and documentation of the management system in their work, and regularly participates in its continuous improvement. Integrity of the management system and consistency in the implementation of laboratory activities is maintained during the planning and implementation of changes.</w:t>
      </w:r>
    </w:p>
    <w:p w:rsidR="00E42DD2" w:rsidRPr="00E42DD2" w:rsidRDefault="00E42DD2" w:rsidP="00E42DD2">
      <w:pPr>
        <w:spacing w:after="120"/>
        <w:jc w:val="both"/>
        <w:rPr>
          <w:rFonts w:ascii="Calibri" w:hAnsi="Calibri" w:cs="Calibri"/>
          <w:sz w:val="20"/>
          <w:lang w:val="en-GB"/>
        </w:rPr>
      </w:pPr>
      <w:r w:rsidRPr="00E42DD2">
        <w:rPr>
          <w:rFonts w:ascii="Calibri" w:hAnsi="Calibri" w:cs="Calibri"/>
          <w:sz w:val="20"/>
          <w:lang w:val="en-GB"/>
        </w:rPr>
        <w:t>The implementation of the Quality Policy and the functioning of the management system are systematically supervised by internal audits and management reviews.</w:t>
      </w:r>
    </w:p>
    <w:p w:rsidR="00E42DD2" w:rsidRPr="00E42DD2" w:rsidRDefault="00E42DD2" w:rsidP="00E42DD2">
      <w:pPr>
        <w:spacing w:after="120"/>
        <w:jc w:val="both"/>
        <w:rPr>
          <w:rFonts w:ascii="Calibri" w:hAnsi="Calibri" w:cs="Calibri"/>
          <w:sz w:val="20"/>
          <w:lang w:val="en-GB"/>
        </w:rPr>
      </w:pPr>
      <w:r w:rsidRPr="00E42DD2">
        <w:rPr>
          <w:rFonts w:ascii="Calibri" w:hAnsi="Calibri" w:cs="Calibri"/>
          <w:sz w:val="20"/>
          <w:lang w:val="en-GB"/>
        </w:rPr>
        <w:t>NCBJ Director undertakes to provide the necessary resources for the functioning of the LBM management system.</w:t>
      </w:r>
    </w:p>
    <w:p w:rsidR="00E42DD2" w:rsidRPr="00475527" w:rsidRDefault="00E42DD2" w:rsidP="00E42DD2">
      <w:pPr>
        <w:spacing w:after="120"/>
        <w:jc w:val="both"/>
        <w:rPr>
          <w:rFonts w:ascii="Calibri" w:hAnsi="Calibri" w:cs="Calibri"/>
          <w:sz w:val="20"/>
          <w:lang w:val="en-GB"/>
        </w:rPr>
      </w:pPr>
      <w:r w:rsidRPr="00E42DD2">
        <w:rPr>
          <w:rFonts w:ascii="Calibri" w:hAnsi="Calibri" w:cs="Calibri"/>
          <w:sz w:val="20"/>
          <w:lang w:val="en-GB"/>
        </w:rPr>
        <w:t xml:space="preserve">Director of the National Centre for Nuclear Research, prof. </w:t>
      </w:r>
      <w:proofErr w:type="spellStart"/>
      <w:r w:rsidRPr="00E42DD2">
        <w:rPr>
          <w:rFonts w:ascii="Calibri" w:hAnsi="Calibri" w:cs="Calibri"/>
          <w:sz w:val="20"/>
          <w:lang w:val="en-GB"/>
        </w:rPr>
        <w:t>dr</w:t>
      </w:r>
      <w:proofErr w:type="spellEnd"/>
      <w:r w:rsidRPr="00E42DD2">
        <w:rPr>
          <w:rFonts w:ascii="Calibri" w:hAnsi="Calibri" w:cs="Calibri"/>
          <w:sz w:val="20"/>
          <w:lang w:val="en-GB"/>
        </w:rPr>
        <w:t xml:space="preserve"> hab. Krzysztof </w:t>
      </w:r>
      <w:proofErr w:type="spellStart"/>
      <w:r w:rsidRPr="00E42DD2">
        <w:rPr>
          <w:rFonts w:ascii="Calibri" w:hAnsi="Calibri" w:cs="Calibri"/>
          <w:sz w:val="20"/>
          <w:lang w:val="en-GB"/>
        </w:rPr>
        <w:t>Kurek</w:t>
      </w:r>
      <w:proofErr w:type="spellEnd"/>
    </w:p>
    <w:p w:rsidR="00E42DD2" w:rsidRDefault="00E42DD2" w:rsidP="00E42DD2">
      <w:pPr>
        <w:spacing w:after="120"/>
        <w:rPr>
          <w:rFonts w:ascii="Calibri" w:hAnsi="Calibri" w:cs="Calibri"/>
          <w:sz w:val="20"/>
          <w:lang w:val="en-GB"/>
        </w:rPr>
      </w:pPr>
    </w:p>
    <w:p w:rsidR="00E42DD2" w:rsidRDefault="00E42DD2">
      <w:pPr>
        <w:rPr>
          <w:rFonts w:ascii="Calibri" w:hAnsi="Calibri" w:cs="Calibri"/>
          <w:sz w:val="20"/>
          <w:lang w:val="en-GB"/>
        </w:rPr>
      </w:pPr>
      <w:r>
        <w:rPr>
          <w:rFonts w:ascii="Calibri" w:hAnsi="Calibri" w:cs="Calibri"/>
          <w:sz w:val="20"/>
          <w:lang w:val="en-GB"/>
        </w:rPr>
        <w:br w:type="page"/>
      </w:r>
    </w:p>
    <w:p w:rsidR="00D3431F" w:rsidRPr="00475527" w:rsidRDefault="00D3431F" w:rsidP="00E42DD2">
      <w:pPr>
        <w:spacing w:after="120"/>
        <w:rPr>
          <w:rFonts w:ascii="Calibri" w:hAnsi="Calibri" w:cs="Calibri"/>
          <w:sz w:val="20"/>
          <w:lang w:val="en-GB"/>
        </w:rPr>
      </w:pPr>
    </w:p>
    <w:sectPr w:rsidR="00D3431F" w:rsidRPr="00475527" w:rsidSect="00475527">
      <w:pgSz w:w="11906" w:h="16838"/>
      <w:pgMar w:top="850" w:right="850" w:bottom="1134" w:left="1701"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0933"/>
    <w:multiLevelType w:val="hybridMultilevel"/>
    <w:tmpl w:val="50FEA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C4B435A"/>
    <w:multiLevelType w:val="hybridMultilevel"/>
    <w:tmpl w:val="9AA2E3E2"/>
    <w:lvl w:ilvl="0" w:tplc="989E4E2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397"/>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1F"/>
    <w:rsid w:val="00475527"/>
    <w:rsid w:val="00562C2C"/>
    <w:rsid w:val="00D3431F"/>
    <w:rsid w:val="00E42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spacing w:before="159"/>
      <w:ind w:left="511"/>
    </w:pPr>
    <w:rPr>
      <w:rFonts w:ascii="Algerian" w:eastAsia="Algerian" w:hAnsi="Algerian"/>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table" w:styleId="Tabela-Siatka">
    <w:name w:val="Table Grid"/>
    <w:basedOn w:val="Standardowy"/>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spacing w:before="159"/>
      <w:ind w:left="511"/>
    </w:pPr>
    <w:rPr>
      <w:rFonts w:ascii="Algerian" w:eastAsia="Algerian" w:hAnsi="Algerian"/>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table" w:styleId="Tabela-Siatka">
    <w:name w:val="Table Grid"/>
    <w:basedOn w:val="Standardowy"/>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1661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Multiverse Solutions</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Ryszkowska Maria</cp:lastModifiedBy>
  <cp:revision>2</cp:revision>
  <dcterms:created xsi:type="dcterms:W3CDTF">2020-12-04T10:28:00Z</dcterms:created>
  <dcterms:modified xsi:type="dcterms:W3CDTF">2020-12-04T10:28:00Z</dcterms:modified>
</cp:coreProperties>
</file>