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E" w:rsidRDefault="0046152E">
      <w:pPr>
        <w:jc w:val="right"/>
        <w:outlineLvl w:val="0"/>
        <w:rPr>
          <w:rFonts w:ascii="Calibri" w:hAnsi="Calibri" w:cs="Calibri"/>
          <w:bCs/>
          <w:color w:val="000000"/>
          <w:sz w:val="22"/>
        </w:rPr>
      </w:pPr>
      <w:bookmarkStart w:id="0" w:name="__UnoMark__3916_925660892"/>
      <w:bookmarkStart w:id="1" w:name="__UnoMark__5075_3620728618"/>
      <w:bookmarkStart w:id="2" w:name="__UnoMark__5068_3620728618"/>
      <w:bookmarkStart w:id="3" w:name="__UnoMark__5061_3620728618"/>
      <w:bookmarkStart w:id="4" w:name="__UnoMark__5054_3620728618"/>
      <w:bookmarkStart w:id="5" w:name="__UnoMark__5047_3620728618"/>
      <w:bookmarkStart w:id="6" w:name="__UnoMark__5006_3620728618"/>
      <w:bookmarkStart w:id="7" w:name="__UnoMark__4999_3620728618"/>
      <w:bookmarkStart w:id="8" w:name="__UnoMark__4984_3620728618"/>
      <w:bookmarkStart w:id="9" w:name="__UnoMark__4971_3620728618"/>
      <w:bookmarkStart w:id="10" w:name="__UnoMark__4915_3620728618"/>
      <w:bookmarkStart w:id="11" w:name="__UnoMark__4908_3620728618"/>
      <w:bookmarkStart w:id="12" w:name="__UnoMark__4868_3620728618"/>
      <w:bookmarkStart w:id="13" w:name="__UnoMark__4853_36207286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10650" w:rsidRDefault="00810650">
      <w:pPr>
        <w:jc w:val="right"/>
        <w:outlineLvl w:val="0"/>
        <w:rPr>
          <w:rFonts w:ascii="Calibri" w:hAnsi="Calibri" w:cs="Calibri"/>
          <w:bCs/>
          <w:color w:val="000000"/>
          <w:sz w:val="22"/>
        </w:rPr>
      </w:pPr>
      <w:bookmarkStart w:id="14" w:name="__UnoMark__5076_3620728618"/>
      <w:bookmarkStart w:id="15" w:name="__UnoMark__5069_3620728618"/>
      <w:bookmarkStart w:id="16" w:name="__UnoMark__5062_3620728618"/>
      <w:bookmarkStart w:id="17" w:name="__UnoMark__5055_3620728618"/>
      <w:bookmarkStart w:id="18" w:name="__UnoMark__5048_3620728618"/>
      <w:bookmarkStart w:id="19" w:name="__UnoMark__5014_3620728618"/>
      <w:bookmarkStart w:id="20" w:name="__UnoMark__5007_3620728618"/>
      <w:bookmarkStart w:id="21" w:name="__UnoMark__5000_3620728618"/>
      <w:bookmarkStart w:id="22" w:name="__UnoMark__4993_3620728618"/>
      <w:bookmarkStart w:id="23" w:name="__UnoMark__4985_3620728618"/>
      <w:bookmarkStart w:id="24" w:name="__UnoMark__4972_3620728618"/>
      <w:bookmarkStart w:id="25" w:name="__UnoMark__4909_3620728618"/>
      <w:bookmarkStart w:id="26" w:name="__UnoMark__4869_3620728618"/>
      <w:bookmarkStart w:id="27" w:name="__UnoMark__4854_362072861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46152E" w:rsidRPr="00810650" w:rsidRDefault="00003015" w:rsidP="00810650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10650">
        <w:rPr>
          <w:rFonts w:asciiTheme="minorHAnsi" w:hAnsiTheme="minorHAnsi" w:cstheme="minorHAnsi"/>
          <w:b/>
          <w:sz w:val="22"/>
          <w:szCs w:val="22"/>
        </w:rPr>
        <w:t>Załącznik</w:t>
      </w:r>
      <w:r w:rsidR="006F4DD1" w:rsidRPr="00810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0650" w:rsidRPr="00810650">
        <w:rPr>
          <w:rFonts w:asciiTheme="minorHAnsi" w:hAnsiTheme="minorHAnsi" w:cstheme="minorHAnsi"/>
          <w:b/>
          <w:sz w:val="22"/>
          <w:szCs w:val="22"/>
        </w:rPr>
        <w:t>Nr A</w:t>
      </w:r>
      <w:r w:rsidRPr="00810650">
        <w:rPr>
          <w:rFonts w:asciiTheme="minorHAnsi" w:hAnsiTheme="minorHAnsi" w:cstheme="minorHAnsi"/>
          <w:b/>
          <w:sz w:val="22"/>
          <w:szCs w:val="22"/>
        </w:rPr>
        <w:t xml:space="preserve"> do </w:t>
      </w:r>
      <w:bookmarkStart w:id="28" w:name="__UnoMark__5077_3620728618"/>
      <w:bookmarkStart w:id="29" w:name="__UnoMark__5070_3620728618"/>
      <w:bookmarkStart w:id="30" w:name="__UnoMark__5063_3620728618"/>
      <w:bookmarkStart w:id="31" w:name="__UnoMark__5056_3620728618"/>
      <w:bookmarkStart w:id="32" w:name="__UnoMark__5049_3620728618"/>
      <w:bookmarkStart w:id="33" w:name="__UnoMark__5015_3620728618"/>
      <w:bookmarkStart w:id="34" w:name="__UnoMark__5008_3620728618"/>
      <w:bookmarkStart w:id="35" w:name="__UnoMark__5001_3620728618"/>
      <w:bookmarkStart w:id="36" w:name="__UnoMark__4994_3620728618"/>
      <w:bookmarkStart w:id="37" w:name="__UnoMark__4986_3620728618"/>
      <w:bookmarkStart w:id="38" w:name="__UnoMark__4973_3620728618"/>
      <w:bookmarkStart w:id="39" w:name="__UnoMark__4910_3620728618"/>
      <w:bookmarkStart w:id="40" w:name="__UnoMark__4870_362072861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810650" w:rsidRPr="00810650">
        <w:rPr>
          <w:rFonts w:asciiTheme="minorHAnsi" w:hAnsiTheme="minorHAnsi" w:cstheme="minorHAnsi"/>
          <w:b/>
          <w:sz w:val="22"/>
          <w:szCs w:val="22"/>
        </w:rPr>
        <w:t>Formularza oferty</w:t>
      </w:r>
    </w:p>
    <w:p w:rsidR="00810650" w:rsidRDefault="00810650" w:rsidP="00810650">
      <w:pPr>
        <w:jc w:val="right"/>
        <w:outlineLvl w:val="0"/>
        <w:rPr>
          <w:rFonts w:ascii="Arial" w:hAnsi="Arial" w:cs="Arial"/>
          <w:b/>
        </w:rPr>
      </w:pPr>
      <w:r w:rsidRPr="00810650">
        <w:rPr>
          <w:rFonts w:asciiTheme="minorHAnsi" w:hAnsiTheme="minorHAnsi" w:cstheme="minorHAnsi"/>
          <w:b/>
          <w:sz w:val="22"/>
          <w:szCs w:val="22"/>
        </w:rPr>
        <w:t>Nr referencyjny:  IZP.270.123.2020</w:t>
      </w:r>
      <w:r w:rsidRPr="00810650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46152E" w:rsidRPr="00BC5CCC" w:rsidRDefault="0046152E">
      <w:bookmarkStart w:id="41" w:name="__UnoMark__898_2361489209"/>
      <w:bookmarkStart w:id="42" w:name="__UnoMark__5078_3620728618"/>
      <w:bookmarkStart w:id="43" w:name="__UnoMark__5071_3620728618"/>
      <w:bookmarkStart w:id="44" w:name="__UnoMark__5064_3620728618"/>
      <w:bookmarkStart w:id="45" w:name="__UnoMark__5057_3620728618"/>
      <w:bookmarkStart w:id="46" w:name="__UnoMark__5050_3620728618"/>
      <w:bookmarkStart w:id="47" w:name="__UnoMark__5016_3620728618"/>
      <w:bookmarkStart w:id="48" w:name="__UnoMark__5009_3620728618"/>
      <w:bookmarkStart w:id="49" w:name="__UnoMark__5002_3620728618"/>
      <w:bookmarkStart w:id="50" w:name="__UnoMark__4995_3620728618"/>
      <w:bookmarkStart w:id="51" w:name="__UnoMark__4987_3620728618"/>
      <w:bookmarkStart w:id="52" w:name="__UnoMark__4974_3620728618"/>
      <w:bookmarkStart w:id="53" w:name="__UnoMark__4911_3620728618"/>
      <w:bookmarkStart w:id="54" w:name="__UnoMark__3920_925660892"/>
      <w:bookmarkStart w:id="55" w:name="__UnoMark__5079_3620728618"/>
      <w:bookmarkStart w:id="56" w:name="__UnoMark__5072_3620728618"/>
      <w:bookmarkStart w:id="57" w:name="__UnoMark__5065_3620728618"/>
      <w:bookmarkStart w:id="58" w:name="__UnoMark__5058_3620728618"/>
      <w:bookmarkStart w:id="59" w:name="__UnoMark__5051_3620728618"/>
      <w:bookmarkStart w:id="60" w:name="__UnoMark__5017_3620728618"/>
      <w:bookmarkStart w:id="61" w:name="__UnoMark__5010_3620728618"/>
      <w:bookmarkStart w:id="62" w:name="__UnoMark__5003_3620728618"/>
      <w:bookmarkStart w:id="63" w:name="__UnoMark__4988_3620728618"/>
      <w:bookmarkStart w:id="64" w:name="__UnoMark__4975_3620728618"/>
      <w:bookmarkStart w:id="65" w:name="__UnoMark__4912_3620728618"/>
      <w:bookmarkStart w:id="66" w:name="__UnoMark__4857_3620728618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14437" w:type="dxa"/>
        <w:tblLayout w:type="fixed"/>
        <w:tblLook w:val="01E0" w:firstRow="1" w:lastRow="1" w:firstColumn="1" w:lastColumn="1" w:noHBand="0" w:noVBand="0"/>
      </w:tblPr>
      <w:tblGrid>
        <w:gridCol w:w="628"/>
        <w:gridCol w:w="6851"/>
        <w:gridCol w:w="3402"/>
        <w:gridCol w:w="672"/>
        <w:gridCol w:w="872"/>
        <w:gridCol w:w="1006"/>
        <w:gridCol w:w="1006"/>
      </w:tblGrid>
      <w:tr w:rsidR="009C1C03" w:rsidRPr="00BC5CCC" w:rsidTr="007715D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03" w:rsidRPr="00BC5CCC" w:rsidRDefault="009C1C03">
            <w:pPr>
              <w:tabs>
                <w:tab w:val="decimal" w:pos="3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03" w:rsidRPr="00BC5CCC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03" w:rsidRPr="00BC5CCC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BC5CCC">
              <w:rPr>
                <w:rFonts w:ascii="Arial" w:hAnsi="Arial" w:cs="Arial"/>
                <w:b/>
                <w:sz w:val="20"/>
                <w:szCs w:val="20"/>
              </w:rPr>
              <w:br/>
              <w:t>szt.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netto w </w:t>
            </w:r>
            <w:r w:rsidR="00342A6D" w:rsidRPr="00342A6D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D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C1C03" w:rsidRPr="00BC5CCC" w:rsidRDefault="0034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A6D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D" w:rsidRDefault="009C1C0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C1C03" w:rsidRDefault="0034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A6D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9C1C03" w:rsidRPr="00BC5CCC" w:rsidTr="007715D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tabs>
                <w:tab w:val="decimal" w:pos="375"/>
              </w:tabs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Wysokowydajny serwer </w:t>
            </w:r>
            <w:proofErr w:type="spellStart"/>
            <w:r w:rsidRPr="00BC5CCC"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2U o minimalnych parametrach:</w:t>
            </w:r>
          </w:p>
          <w:p w:rsidR="009C1C03" w:rsidRPr="00BC5CCC" w:rsidRDefault="009C1C03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63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9"/>
              <w:gridCol w:w="3969"/>
            </w:tblGrid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Default="009C1C03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C1C03" w:rsidRDefault="009C1C03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C1C03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Serwer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rack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2U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Całość montowana i dystrybuowana przez jednego producenta.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>Całość złożona z wysokiej jakości komponentów typowych dla serwerów.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Obudowa serwerowa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 obudowy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2U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Kieszenie na dyski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24 x 2.5" hot-swap SAS/SATA drive bay; SAS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lub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enterprise SATA HDD / SSD.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Możliwość podłączenia 2 x dysków M.2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FormFactor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: 2280,22110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Wentylatory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2A361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 szt. (40 x 56 mm.)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>Wentylatory wyposażone są w regulator obrotów sterowany z poziomu oprogramowania układowego serwera w sposób automatyczny w zależności od zapotrzebowania na chłodzenie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Szyny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2A361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Zespół wysuwanych szyn do zamocowania w szafie rakowej 19”. Elementem szyn ma być również organizator kabli umieszczony za tylną częścią serwera na przedłużeniu szyn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rack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właściwości obudowy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0445D2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przyciski: wł./wył.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5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diód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: zasilania, stan pracy dysków, informacyjna przegrzanie, informacyjna uszkodzenie zasilacza, informacyjna uszkodzenie pamięci RAM.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 x redundantne 1100W (100-240V) Hot-Plug zamontowane w obudowie serwera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Certyfikat zasilacza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80 PLUS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Platininum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Certified</w:t>
                  </w:r>
                  <w:proofErr w:type="spellEnd"/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podstawek pod procesory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Wymiary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Pasujące do obudowy. Zaprojektowana przez producenta serwera i oznaczona jego znakiem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firmowym.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pamięci RAM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24 x DDR4 DIMM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Obsługiwana pamięć RAM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RDIMM:, 8GB, 16GB, 32GB; 64GB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>LRDIMM: 128 GB;</w:t>
                  </w:r>
                </w:p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Łączna ilość obsługiwanej pamięci 3TB lub więcej.</w:t>
                  </w:r>
                </w:p>
              </w:tc>
            </w:tr>
            <w:tr w:rsidR="009C1C03" w:rsidRPr="00617E44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Zabezpieczenie pamięci RAM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Memory Rank Sparing, Memory Mirror, Failed DIMM isolation, Memory Address Parity Protection, Memory Thermal Throttling </w:t>
                  </w:r>
                </w:p>
              </w:tc>
            </w:tr>
            <w:tr w:rsidR="009C1C03" w:rsidRPr="00BC5CCC" w:rsidTr="00810650">
              <w:trPr>
                <w:trHeight w:val="591"/>
              </w:trPr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Grafika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Dedykowana, zintegrowana z płytą główną, wykorzystywana w serwerowych płytach głównych, umożliwiająca wyświetlenie rozdzielczości min. 1920x1200</w:t>
                  </w:r>
                </w:p>
              </w:tc>
            </w:tr>
            <w:tr w:rsidR="009C1C03" w:rsidRPr="00BC5CCC" w:rsidTr="00810650">
              <w:trPr>
                <w:trHeight w:val="330"/>
              </w:trPr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Interface sieciowe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2 x RJ45 1Gb/sec Ethernet w standardzie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BaseT</w:t>
                  </w:r>
                  <w:proofErr w:type="spellEnd"/>
                </w:p>
                <w:p w:rsidR="009C1C03" w:rsidRPr="00BC5CCC" w:rsidRDefault="009C1C03" w:rsidP="004E7609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 x 10Gb/sec w standardzie SFP+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C1C03" w:rsidRPr="00BC5CCC" w:rsidRDefault="009C1C03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2 x 10Gb/sec w standardzie SFP+,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</w:p>
                <w:p w:rsidR="009C1C03" w:rsidRPr="00BC5CCC" w:rsidRDefault="009C1C03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1F3DFF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4 x moduł optyczny SFP+ 10Gb/s LR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jednomodowy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na odległość 10km (Moduły mają być kompatybilne z dostarczonymi kartami SFP+) 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USB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USB 2.0 (min. 2 złącza z przodu obudowy)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>USB 3.0 (min. 2 złącza z tyłu obudowy)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Wyjście video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x VGA z przodu obudowy, 1 x VGA z tyłu obudowy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COM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x z tyłu obudowy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PCI-E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8 slotów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generacji 3, w tym min. 2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o prędkości x16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BIOS-u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UEFI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876A5B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Zainstalowane dwa procesory wielordzeniowe klasy x86, dedykowane do pracy z zaoferowanym serwerem, umożliwiające osiągnięcie wyniku min. 201 w teście SPECrate2017_int_base (wynik nie musi pochodzić od oferowanego modelu serwera) oraz CPU Mark min. 24000 dla pojedynczego procesora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rdzeni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wątków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Architektura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64bit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pamięci ECC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graficzny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Nie posiada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TDP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ok. 150W lub mniej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 dotyczące procesora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Procesor musi pasować do płyty głównej i być z nią zgodny.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dla procesora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Radiator 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Pasywne, dostosowane do rodzaju zastosowanego procesora i parametru TDP dla procesora oraz obudowy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DDR4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64 GB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Szybkość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3200 MT/s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Rodzaj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ECC RDIMM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Napięcie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1,2 V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modułów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Łączna pojemność całej zainstalowanej pamięci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768 GB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Pamięci muszą pasować do płyty głównej i być z nią zgodne według zaleceń producenta płyty głównej/producenta serwera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Kontroler RAID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kontroler pamięci masowej SAS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 mechaniczne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karta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3.1 pasująca do płyty głównej i obudowy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interfejsu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SAS 12Gb/s</w:t>
                  </w:r>
                </w:p>
              </w:tc>
            </w:tr>
            <w:tr w:rsidR="009C1C03" w:rsidRPr="00617E44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Raid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lang w:val="en-GB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RAID 0, RAID 1, RAID 5, RAID 6, RAID 10, RAID 50, RAID 60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Zainstalowana pamięć cache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8GB 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Wsparcie S.M.A.R.T, RLM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SSD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Gen 3.0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Obudowa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M.2 (2280)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Min. 480 GB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 SSD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SSD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twardego dysku  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Min. 1,9 TB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 twardego  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Standardowe rozwiązania komunikacyjne  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SSD SATA  6Gb/s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TBW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10512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DWPD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13 szt.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Bezpieczeństwo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 xml:space="preserve">Moduł TPM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Zintegrowany z płytą główną moduł TPM 2.0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Czujnik obudowy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Wbudowany czujnik otwarcia obudowy współpracujący z BIOS i kartą zarządzającą.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Zabezpieczenie dysków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Fizyczne zabezpieczenie dedykowane przez producenta serwera uniemożliwiające wyjęcie dysków twardych umieszczonych na froncie obudowy przez nieuprawnionych użytkowników.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Diagnostyka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Panel LCD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 w:rsidP="00D622D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Panel LCD umieszczony na froncie obudowy, umożliwiający wyświetlenie informacji o stanie procesora, pamięci, dysków, </w:t>
                  </w:r>
                  <w:proofErr w:type="spellStart"/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BIOS’u</w:t>
                  </w:r>
                  <w:proofErr w:type="spellEnd"/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, zasilaniu oraz temperaturze.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 w:rsidP="00D622DE">
                  <w:pPr>
                    <w:jc w:val="right"/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8C6BA6">
                    <w:rPr>
                      <w:rFonts w:ascii="Arial" w:hAnsi="Arial"/>
                      <w:bCs/>
                      <w:sz w:val="16"/>
                      <w:szCs w:val="16"/>
                      <w:highlight w:val="yellow"/>
                    </w:rPr>
                    <w:t>Aplikacja mobilna (cecha nieobligatoryjna dodatkowo punktowana)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8C6BA6">
                    <w:rPr>
                      <w:rFonts w:ascii="Arial" w:hAnsi="Arial"/>
                      <w:bCs/>
                      <w:sz w:val="16"/>
                      <w:szCs w:val="16"/>
                      <w:highlight w:val="yellow"/>
                    </w:rPr>
                    <w:t xml:space="preserve">Obudowa serwera wyposażona w kartę umożliwiającą dostęp bezpośredni poprzez urządzenia mobilne - serwer musi posiadać możliwość konfiguracji oraz monitoringu najważniejszych komponentów serwera przy użyciu </w:t>
                  </w:r>
                  <w:r w:rsidRPr="008C6BA6">
                    <w:rPr>
                      <w:rFonts w:ascii="Arial" w:hAnsi="Arial"/>
                      <w:bCs/>
                      <w:sz w:val="16"/>
                      <w:szCs w:val="16"/>
                      <w:highlight w:val="yellow"/>
                    </w:rPr>
                    <w:lastRenderedPageBreak/>
                    <w:t>dedykowanej aplikacji mobilnej min. (Android/ Apple iOS) przy użyciu jednego z protokołów NFC/ BLE/ WIFI.</w:t>
                  </w:r>
                </w:p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lastRenderedPageBreak/>
                    <w:t>Zarządzanie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Niezależna od zainstalowanego na serwerze systemu operacyjnego posiadająca dedykowany port Gigabit Ethernet RJ-45 i umożliwiająca: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zdalny dostęp do graficznego interfejsu Web karty zarządzającej;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zdalne monitorowanie i informowanie o statusie serwera (m.in. prędkości obrotowej wentylatorów, konfiguracji serwera);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szyfrowane połączenie (TLS) oraz autentykacje i autoryzację użytkownika;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podmontowania zdalnych wirtualnych napędów;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wirtualną konsolę z dostępem do myszy, klawiatury;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wsparcie dla IPv6;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</w:pP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>wsparcie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>dla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 xml:space="preserve"> WSMAN (Web Service for Management); SNMP; IPMI2.0, SSH, Redfish;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zdalnego monitorowania w czasie rzeczywistym poboru prądu przez serwer;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zdalnego ustawienia limitu poboru prądu przez konkretny serwer;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integracja z Active Directory;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obsługi przez dwóch administratorów jednocześnie;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wsparcie dla </w:t>
                  </w: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dynamic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 DNS;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wysyłanie do administratora maila z powiadomieniem o awarii lub zmianie konfiguracji sprzętowej.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bezpośredniego zarządzania poprzez dedykowany port USB na przednim panelu serwera</w:t>
                  </w:r>
                </w:p>
                <w:p w:rsidR="009C1C03" w:rsidRPr="00BC5CCC" w:rsidRDefault="009C1C03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zarządzania do 100 serwerów bezpośrednio z konsoli karty zarządzającej pojedynczego serwera</w:t>
                  </w:r>
                </w:p>
                <w:p w:rsidR="009C1C03" w:rsidRPr="00BC5CCC" w:rsidRDefault="009C1C03">
                  <w:pPr>
                    <w:jc w:val="both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Certyfikaty, deklaracje, normy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Serwer musi być wyprodukowany zgodnie z normą </w:t>
                  </w: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lastRenderedPageBreak/>
                    <w:t xml:space="preserve">ISO-9001:2008 oraz ISO-14001. </w:t>
                  </w: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br/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Serwer musi posiadać deklaracja CE.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Oferowany serwer musi znajdować się na liście Windows Server </w:t>
                  </w:r>
                  <w:proofErr w:type="spellStart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Catalog</w:t>
                  </w:r>
                  <w:proofErr w:type="spellEnd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 i posiadać status „</w:t>
                  </w:r>
                  <w:proofErr w:type="spellStart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Certified</w:t>
                  </w:r>
                  <w:proofErr w:type="spellEnd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 for Windows” dla systemów Microsoft Windows 2012, Microsoft Windows 2012 R2 x64, Microsoft Windows 2016, Microsoft Windows 2019.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/>
                      <w:sz w:val="16"/>
                      <w:szCs w:val="16"/>
                    </w:rPr>
                    <w:t>Warunki gwarancji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 xml:space="preserve">Min. 7 lat gwarancji </w:t>
                  </w:r>
                  <w:r w:rsidR="007E7235" w:rsidRPr="007E7235">
                    <w:rPr>
                      <w:rFonts w:ascii="Arial" w:hAnsi="Arial"/>
                      <w:sz w:val="16"/>
                      <w:szCs w:val="16"/>
                    </w:rPr>
                    <w:t>od dnia podpisania protokołu odbioru sprzętu</w:t>
                  </w: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, z czasem reakcji do następnego dnia roboczego od przyjęcia zgłoszenia, możliwość zgłaszania awarii 24x7x365 poprzez ogólnopolską linię telefoniczną producenta. W przypadku awarii nośników pozostają one własnością Zamawiającego.</w:t>
                  </w:r>
                </w:p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Możliwość zdalnego (telefonicznie lub przez stronę internetową producenta) sprawdzenia konfiguracji sprzętowej serwera oraz warunków gwarancji po podaniu numeru seryjnego.</w:t>
                  </w: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C1C03" w:rsidRPr="00BC5CCC" w:rsidTr="00810650">
              <w:tc>
                <w:tcPr>
                  <w:tcW w:w="2349" w:type="dxa"/>
                  <w:shd w:val="clear" w:color="auto" w:fill="auto"/>
                </w:tcPr>
                <w:p w:rsidR="009C1C03" w:rsidRPr="00BC5CCC" w:rsidRDefault="009C1C03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C1C03" w:rsidRPr="00BC5CCC" w:rsidRDefault="009C1C03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C1C03" w:rsidRPr="00BC5CCC" w:rsidRDefault="009C1C03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617E44" w:rsidRDefault="009C1C03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Nazwa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/Model ……</w:t>
            </w:r>
            <w:r w:rsidR="00810650"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....</w:t>
            </w:r>
          </w:p>
          <w:p w:rsidR="009C1C03" w:rsidRPr="00617E44" w:rsidRDefault="009C1C03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Parametry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P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P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……………….</w:t>
            </w: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650" w:rsidRPr="00617E44" w:rsidRDefault="00810650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0650" w:rsidRPr="00617E44" w:rsidRDefault="00617E44" w:rsidP="009C1C03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……………….</w:t>
            </w:r>
          </w:p>
          <w:p w:rsidR="00810650" w:rsidRDefault="00810650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……………….</w:t>
            </w: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……………….</w:t>
            </w: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 w:rsidRPr="00617E44"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……………….</w:t>
            </w: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Producent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/symbol …………………..</w:t>
            </w: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C6BA6">
              <w:rPr>
                <w:rFonts w:ascii="Arial" w:hAnsi="Arial" w:cs="Arial"/>
                <w:b/>
                <w:sz w:val="16"/>
                <w:szCs w:val="16"/>
              </w:rPr>
              <w:t>Procucent</w:t>
            </w:r>
            <w:proofErr w:type="spellEnd"/>
            <w:r w:rsidRPr="008C6BA6">
              <w:rPr>
                <w:rFonts w:ascii="Arial" w:hAnsi="Arial" w:cs="Arial"/>
                <w:b/>
                <w:sz w:val="16"/>
                <w:szCs w:val="16"/>
              </w:rPr>
              <w:t>/symbol …………………….</w:t>
            </w: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8C6BA6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7" w:name="_GoBack"/>
            <w:bookmarkEnd w:id="67"/>
            <w:r w:rsidRPr="008C6BA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Nazwa aplikacji mobilnej ………………..</w:t>
            </w:r>
          </w:p>
          <w:p w:rsidR="00617E44" w:rsidRPr="008C6BA6" w:rsidRDefault="00617E44" w:rsidP="00617E4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7E44" w:rsidRPr="008C6BA6" w:rsidRDefault="00617E44" w:rsidP="007715D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jc w:val="center"/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C03" w:rsidRPr="00BC5CCC" w:rsidTr="007715D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9C1C03" w:rsidRPr="00BC5CCC" w:rsidRDefault="009C1C0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Testy wydajnościowe na podstawie stron www:</w:t>
            </w:r>
          </w:p>
          <w:p w:rsidR="009C1C03" w:rsidRPr="00BC5CCC" w:rsidRDefault="009C1C03" w:rsidP="00DB6692">
            <w:pPr>
              <w:widowControl w:val="0"/>
              <w:tabs>
                <w:tab w:val="left" w:pos="1666"/>
              </w:tabs>
              <w:ind w:left="16"/>
              <w:rPr>
                <w:rFonts w:ascii="Arial" w:hAnsi="Arial" w:cs="Arial"/>
                <w:sz w:val="20"/>
                <w:szCs w:val="20"/>
              </w:rPr>
            </w:pPr>
            <w:r w:rsidRPr="00BC5CCC">
              <w:rPr>
                <w:rFonts w:ascii="Arial" w:hAnsi="Arial" w:cs="Arial"/>
                <w:sz w:val="20"/>
                <w:szCs w:val="20"/>
              </w:rPr>
              <w:br/>
              <w:t>- dla procesorów:</w:t>
            </w:r>
            <w:r w:rsidRPr="00BC5CCC">
              <w:rPr>
                <w:rFonts w:ascii="Arial" w:hAnsi="Arial" w:cs="Arial"/>
                <w:sz w:val="20"/>
                <w:szCs w:val="20"/>
              </w:rPr>
              <w:tab/>
            </w:r>
            <w:hyperlink r:id="rId9" w:history="1">
              <w:r w:rsidRPr="00BC5CC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https://www.spec.org/cpu2017/results/rint2017.html</w:t>
              </w:r>
            </w:hyperlink>
            <w:r w:rsidRPr="00BC5CCC">
              <w:rPr>
                <w:rFonts w:ascii="Arial" w:hAnsi="Arial" w:cs="Arial"/>
                <w:sz w:val="20"/>
                <w:szCs w:val="20"/>
              </w:rPr>
              <w:br/>
            </w:r>
            <w:r w:rsidRPr="00BC5CCC">
              <w:tab/>
            </w:r>
            <w:hyperlink r:id="rId10" w:history="1">
              <w:r w:rsidRPr="00BC5CC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https://www.cpubenchmark.net/cpu_list.php</w:t>
              </w:r>
            </w:hyperlink>
          </w:p>
          <w:p w:rsidR="009C1C03" w:rsidRPr="00BC5CCC" w:rsidRDefault="009C1C03">
            <w:pPr>
              <w:widowControl w:val="0"/>
              <w:tabs>
                <w:tab w:val="left" w:pos="1236"/>
              </w:tabs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9C1C03" w:rsidRPr="00BC5CCC" w:rsidRDefault="009C1C03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1C03" w:rsidRPr="00BC5CCC" w:rsidRDefault="009C1C03">
            <w:pPr>
              <w:widowControl w:val="0"/>
              <w:numPr>
                <w:ilvl w:val="0"/>
                <w:numId w:val="2"/>
              </w:numPr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W przypadku komputerów i monitorów</w:t>
            </w:r>
            <w:r w:rsidRPr="00BC5CCC">
              <w:rPr>
                <w:rFonts w:ascii="Arial" w:hAnsi="Arial" w:cs="Arial"/>
                <w:sz w:val="20"/>
                <w:szCs w:val="20"/>
              </w:rPr>
              <w:t>, wszystkie porty we/wy muszą znajdować się w obudowie urządzenia. Niedopuszczalne jest dostarczanie przejściówek/zewnętrznych urządzeń, chyba, że zapisano to wprost w powyższej specyfikacji</w:t>
            </w:r>
            <w:r w:rsidRPr="00BC5C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1C03" w:rsidRPr="00BC5CCC" w:rsidRDefault="009C1C03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03" w:rsidRPr="00BC5CCC" w:rsidRDefault="009C1C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52E" w:rsidRPr="009C1C03" w:rsidRDefault="00003015">
      <w:pPr>
        <w:rPr>
          <w:rFonts w:ascii="Arial" w:hAnsi="Arial" w:cs="Arial"/>
          <w:b/>
        </w:rPr>
      </w:pPr>
      <w:bookmarkStart w:id="68" w:name="__UnoMark__3921_925660892"/>
      <w:bookmarkStart w:id="69" w:name="__UnoMark__5080_3620728618"/>
      <w:bookmarkStart w:id="70" w:name="__UnoMark__5073_3620728618"/>
      <w:bookmarkStart w:id="71" w:name="__UnoMark__5066_3620728618"/>
      <w:bookmarkStart w:id="72" w:name="__UnoMark__5059_3620728618"/>
      <w:bookmarkStart w:id="73" w:name="__UnoMark__5052_3620728618"/>
      <w:bookmarkStart w:id="74" w:name="__UnoMark__5011_3620728618"/>
      <w:bookmarkStart w:id="75" w:name="__UnoMark__5004_3620728618"/>
      <w:bookmarkStart w:id="76" w:name="__UnoMark__4989_3620728618"/>
      <w:bookmarkStart w:id="77" w:name="__UnoMark__4976_3620728618"/>
      <w:bookmarkStart w:id="78" w:name="__UnoMark__4913_3620728618"/>
      <w:bookmarkStart w:id="79" w:name="__UnoMark__4873_3620728618"/>
      <w:bookmarkStart w:id="80" w:name="__UnoMark__4858_3620728618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9C1C03">
        <w:rPr>
          <w:rFonts w:ascii="Arial" w:hAnsi="Arial" w:cs="Arial"/>
          <w:b/>
        </w:rPr>
        <w:t xml:space="preserve"> </w:t>
      </w:r>
    </w:p>
    <w:p w:rsidR="0046152E" w:rsidRPr="009C1C03" w:rsidRDefault="0046152E">
      <w:pPr>
        <w:pStyle w:val="Akapitzlist"/>
        <w:suppressAutoHyphens w:val="0"/>
        <w:spacing w:after="160" w:line="259" w:lineRule="auto"/>
        <w:rPr>
          <w:rFonts w:ascii="Arial" w:hAnsi="Arial" w:cs="Arial"/>
          <w:b/>
          <w:color w:val="auto"/>
        </w:rPr>
      </w:pPr>
    </w:p>
    <w:p w:rsidR="00BC5CCC" w:rsidRPr="00BC5CCC" w:rsidRDefault="00BC5CCC">
      <w:pPr>
        <w:rPr>
          <w:rFonts w:ascii="Arial" w:hAnsi="Arial" w:cs="Arial"/>
          <w:b/>
        </w:rPr>
      </w:pPr>
      <w:bookmarkStart w:id="81" w:name="__UnoMark__902_2361489209"/>
      <w:bookmarkStart w:id="82" w:name="__UnoMark__906_2361489209"/>
      <w:bookmarkEnd w:id="81"/>
      <w:bookmarkEnd w:id="82"/>
    </w:p>
    <w:sectPr w:rsidR="00BC5CCC" w:rsidRPr="00BC5CCC" w:rsidSect="009C1C03">
      <w:footerReference w:type="default" r:id="rId11"/>
      <w:pgSz w:w="16838" w:h="11906" w:orient="landscape"/>
      <w:pgMar w:top="1418" w:right="113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D3" w:rsidRDefault="006C4CD3">
      <w:r>
        <w:separator/>
      </w:r>
    </w:p>
  </w:endnote>
  <w:endnote w:type="continuationSeparator" w:id="0">
    <w:p w:rsidR="006C4CD3" w:rsidRDefault="006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2E" w:rsidRDefault="0000301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BC3B9FF" wp14:editId="0EC33E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6152E" w:rsidRDefault="0000301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C6BA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25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" filled="f" stroked="f">
              <v:textbox style="mso-fit-shape-to-text:t" inset="0,0,0,0">
                <w:txbxContent>
                  <w:p w:rsidR="0046152E" w:rsidRDefault="0000301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C6BA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D3" w:rsidRDefault="006C4CD3">
      <w:r>
        <w:separator/>
      </w:r>
    </w:p>
  </w:footnote>
  <w:footnote w:type="continuationSeparator" w:id="0">
    <w:p w:rsidR="006C4CD3" w:rsidRDefault="006C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6A"/>
    <w:multiLevelType w:val="multilevel"/>
    <w:tmpl w:val="512443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85"/>
    <w:multiLevelType w:val="multilevel"/>
    <w:tmpl w:val="413C25E2"/>
    <w:lvl w:ilvl="0">
      <w:start w:val="1"/>
      <w:numFmt w:val="decimal"/>
      <w:lvlText w:val="%1)"/>
      <w:lvlJc w:val="left"/>
      <w:pPr>
        <w:ind w:left="376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43E907AE"/>
    <w:multiLevelType w:val="multilevel"/>
    <w:tmpl w:val="A7363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AC4048"/>
    <w:multiLevelType w:val="multilevel"/>
    <w:tmpl w:val="9AD6A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E"/>
    <w:rsid w:val="00003015"/>
    <w:rsid w:val="000445D2"/>
    <w:rsid w:val="00083937"/>
    <w:rsid w:val="001F3DFF"/>
    <w:rsid w:val="00272142"/>
    <w:rsid w:val="00280D43"/>
    <w:rsid w:val="002A3613"/>
    <w:rsid w:val="00342A6D"/>
    <w:rsid w:val="0036489B"/>
    <w:rsid w:val="003C0E5A"/>
    <w:rsid w:val="0046152E"/>
    <w:rsid w:val="004E34B6"/>
    <w:rsid w:val="004E7609"/>
    <w:rsid w:val="005075CD"/>
    <w:rsid w:val="005B3FD9"/>
    <w:rsid w:val="00617E44"/>
    <w:rsid w:val="006C4CD3"/>
    <w:rsid w:val="006E4C43"/>
    <w:rsid w:val="006F4DD1"/>
    <w:rsid w:val="006F64BA"/>
    <w:rsid w:val="007715DB"/>
    <w:rsid w:val="00792653"/>
    <w:rsid w:val="007945FD"/>
    <w:rsid w:val="007B4681"/>
    <w:rsid w:val="007E7235"/>
    <w:rsid w:val="00806140"/>
    <w:rsid w:val="00810650"/>
    <w:rsid w:val="00815874"/>
    <w:rsid w:val="00815B4C"/>
    <w:rsid w:val="00855D61"/>
    <w:rsid w:val="00856B71"/>
    <w:rsid w:val="00876A5B"/>
    <w:rsid w:val="008A238A"/>
    <w:rsid w:val="008A6E83"/>
    <w:rsid w:val="008C6BA6"/>
    <w:rsid w:val="00985E73"/>
    <w:rsid w:val="009B5DF8"/>
    <w:rsid w:val="009C1C03"/>
    <w:rsid w:val="00A01795"/>
    <w:rsid w:val="00BC5CCC"/>
    <w:rsid w:val="00C77420"/>
    <w:rsid w:val="00CB3CFC"/>
    <w:rsid w:val="00CD6ED0"/>
    <w:rsid w:val="00D622DE"/>
    <w:rsid w:val="00DB6692"/>
    <w:rsid w:val="00ED4D03"/>
    <w:rsid w:val="00F24503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nhideWhenUsed/>
    <w:rsid w:val="00A23053"/>
    <w:rPr>
      <w:color w:val="0000FF" w:themeColor="hyperlink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qFormat/>
    <w:rsid w:val="00105EFB"/>
    <w:rPr>
      <w:color w:val="800080"/>
      <w:u w:val="single"/>
    </w:rPr>
  </w:style>
  <w:style w:type="character" w:styleId="Numerstrony">
    <w:name w:val="page number"/>
    <w:basedOn w:val="Domylnaczcionkaakapitu"/>
    <w:qFormat/>
    <w:rsid w:val="00186DA0"/>
  </w:style>
  <w:style w:type="character" w:customStyle="1" w:styleId="MapadokumentuZnak">
    <w:name w:val="Mapa dokumentu Znak"/>
    <w:link w:val="Mapadokumentu"/>
    <w:uiPriority w:val="99"/>
    <w:semiHidden/>
    <w:qFormat/>
    <w:rsid w:val="00DE5730"/>
    <w:rPr>
      <w:rFonts w:ascii="Tahoma" w:eastAsia="Times New Roman" w:hAnsi="Tahoma" w:cs="Tahoma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qFormat/>
    <w:rsid w:val="00656C0A"/>
    <w:rPr>
      <w:rFonts w:ascii="Tahoma" w:hAnsi="Tahoma" w:cs="Tahom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37F3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7F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sz w:val="20"/>
      <w:szCs w:val="2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 w:cs="Times New Roman"/>
      <w:sz w:val="16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3053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Arial" w:hAnsi="Arial" w:cs="Times New Roman"/>
      <w:sz w:val="16"/>
      <w:szCs w:val="20"/>
    </w:rPr>
  </w:style>
  <w:style w:type="character" w:customStyle="1" w:styleId="ListLabel12">
    <w:name w:val="ListLabel 12"/>
    <w:qFormat/>
    <w:rPr>
      <w:rFonts w:ascii="Arial" w:hAnsi="Arial" w:cs="Times New Roman"/>
      <w:sz w:val="16"/>
      <w:szCs w:val="20"/>
    </w:rPr>
  </w:style>
  <w:style w:type="character" w:customStyle="1" w:styleId="ListLabel13">
    <w:name w:val="ListLabel 13"/>
    <w:qFormat/>
    <w:rPr>
      <w:rFonts w:ascii="Arial" w:hAnsi="Arial" w:cs="Times New Roman"/>
      <w:sz w:val="16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omylnie">
    <w:name w:val="Domyślnie"/>
    <w:uiPriority w:val="99"/>
    <w:qFormat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E5730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qFormat/>
    <w:rsid w:val="00971617"/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413298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rsid w:val="00413298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7F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DB66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D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nhideWhenUsed/>
    <w:rsid w:val="00A23053"/>
    <w:rPr>
      <w:color w:val="0000FF" w:themeColor="hyperlink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qFormat/>
    <w:rsid w:val="00105EFB"/>
    <w:rPr>
      <w:color w:val="800080"/>
      <w:u w:val="single"/>
    </w:rPr>
  </w:style>
  <w:style w:type="character" w:styleId="Numerstrony">
    <w:name w:val="page number"/>
    <w:basedOn w:val="Domylnaczcionkaakapitu"/>
    <w:qFormat/>
    <w:rsid w:val="00186DA0"/>
  </w:style>
  <w:style w:type="character" w:customStyle="1" w:styleId="MapadokumentuZnak">
    <w:name w:val="Mapa dokumentu Znak"/>
    <w:link w:val="Mapadokumentu"/>
    <w:uiPriority w:val="99"/>
    <w:semiHidden/>
    <w:qFormat/>
    <w:rsid w:val="00DE5730"/>
    <w:rPr>
      <w:rFonts w:ascii="Tahoma" w:eastAsia="Times New Roman" w:hAnsi="Tahoma" w:cs="Tahoma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qFormat/>
    <w:rsid w:val="00656C0A"/>
    <w:rPr>
      <w:rFonts w:ascii="Tahoma" w:hAnsi="Tahoma" w:cs="Tahom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37F3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7F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sz w:val="20"/>
      <w:szCs w:val="2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 w:cs="Times New Roman"/>
      <w:sz w:val="16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3053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Arial" w:hAnsi="Arial" w:cs="Times New Roman"/>
      <w:sz w:val="16"/>
      <w:szCs w:val="20"/>
    </w:rPr>
  </w:style>
  <w:style w:type="character" w:customStyle="1" w:styleId="ListLabel12">
    <w:name w:val="ListLabel 12"/>
    <w:qFormat/>
    <w:rPr>
      <w:rFonts w:ascii="Arial" w:hAnsi="Arial" w:cs="Times New Roman"/>
      <w:sz w:val="16"/>
      <w:szCs w:val="20"/>
    </w:rPr>
  </w:style>
  <w:style w:type="character" w:customStyle="1" w:styleId="ListLabel13">
    <w:name w:val="ListLabel 13"/>
    <w:qFormat/>
    <w:rPr>
      <w:rFonts w:ascii="Arial" w:hAnsi="Arial" w:cs="Times New Roman"/>
      <w:sz w:val="16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omylnie">
    <w:name w:val="Domyślnie"/>
    <w:uiPriority w:val="99"/>
    <w:qFormat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E5730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qFormat/>
    <w:rsid w:val="00971617"/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413298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rsid w:val="00413298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7F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DB66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ec.org/cpu2017/results/rint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8E53-0D83-4C5D-BE2B-76EEF11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Jacek</dc:creator>
  <dc:description/>
  <cp:lastModifiedBy>Długaszek Anna</cp:lastModifiedBy>
  <cp:revision>22</cp:revision>
  <cp:lastPrinted>2012-11-22T08:23:00Z</cp:lastPrinted>
  <dcterms:created xsi:type="dcterms:W3CDTF">2020-11-12T18:46:00Z</dcterms:created>
  <dcterms:modified xsi:type="dcterms:W3CDTF">2020-12-01T09:08:00Z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