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i/>
          <w:i/>
          <w:sz w:val="22"/>
        </w:rPr>
      </w:pPr>
      <w:r>
        <w:rPr>
          <w:i/>
          <w:sz w:val="22"/>
        </w:rPr>
        <w:t>Zał. Nr 1 do SIWZ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Specyfikacja techniczno – ilościowa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snapToGrid w:val="false"/>
        <w:jc w:val="center"/>
        <w:rPr/>
      </w:pPr>
      <w:r>
        <w:rPr>
          <w:rFonts w:cs="Arial" w:ascii="Arial" w:hAnsi="Arial"/>
          <w:b/>
          <w:sz w:val="20"/>
          <w:szCs w:val="20"/>
        </w:rPr>
        <w:t>CZĘŚĆ 2</w:t>
      </w:r>
    </w:p>
    <w:p>
      <w:pPr>
        <w:pStyle w:val="Normal"/>
        <w:widowControl w:val="false"/>
        <w:snapToGrid w:val="false"/>
        <w:jc w:val="left"/>
        <w:rPr>
          <w:b/>
          <w:b/>
          <w:sz w:val="22"/>
          <w:szCs w:val="22"/>
        </w:rPr>
      </w:pPr>
      <w:r>
        <w:rPr>
          <w:rFonts w:eastAsia="Times New Roman" w:cs="Arial" w:ascii="Arial" w:hAnsi="Arial"/>
          <w:b/>
          <w:color w:val="00000A"/>
          <w:sz w:val="20"/>
          <w:szCs w:val="20"/>
          <w:lang w:val="pl-PL" w:eastAsia="zh-CN" w:bidi="ar-SA"/>
        </w:rPr>
        <w:t>Komputery przenośne i części komputerowe.</w:t>
      </w:r>
    </w:p>
    <w:p>
      <w:pPr>
        <w:pStyle w:val="Normal"/>
        <w:widowControl w:val="false"/>
        <w:snapToGrid w:val="false"/>
        <w:jc w:val="left"/>
        <w:rPr>
          <w:rFonts w:ascii="Arial" w:hAnsi="Arial" w:eastAsia="Times New Roman" w:cs="Arial"/>
          <w:color w:val="00000A"/>
          <w:sz w:val="20"/>
          <w:szCs w:val="20"/>
          <w:lang w:val="pl-PL" w:eastAsia="zh-CN" w:bidi="ar-SA"/>
        </w:rPr>
      </w:pPr>
      <w:r>
        <w:rPr>
          <w:b/>
          <w:sz w:val="22"/>
          <w:szCs w:val="22"/>
        </w:rPr>
      </w:r>
    </w:p>
    <w:p>
      <w:pPr>
        <w:pStyle w:val="Normal"/>
        <w:rPr>
          <w:rFonts w:ascii="Arial" w:hAnsi="Arial"/>
          <w:sz w:val="20"/>
          <w:szCs w:val="20"/>
        </w:rPr>
      </w:pPr>
      <w:bookmarkStart w:id="0" w:name="__DdeLink__4285_1528427678"/>
      <w:bookmarkEnd w:id="0"/>
      <w:r>
        <w:rPr>
          <w:rFonts w:ascii="Arial" w:hAnsi="Arial"/>
          <w:b/>
          <w:sz w:val="20"/>
          <w:szCs w:val="20"/>
        </w:rPr>
        <w:t>Cały oferowany sprzęt musi pochodzić z oficjalnych kanałów dystrybucyjnych lub serwisowych producenta. Cały sprzęt musi być fabrycznie nowy.</w:t>
      </w:r>
    </w:p>
    <w:p>
      <w:pPr>
        <w:pStyle w:val="Normal"/>
        <w:rPr>
          <w:rFonts w:ascii="Arial" w:hAnsi="Arial" w:eastAsia="Times New Roman" w:cs="Arial"/>
          <w:b/>
          <w:b/>
          <w:color w:val="00000A"/>
          <w:sz w:val="20"/>
          <w:szCs w:val="20"/>
          <w:lang w:val="pl-PL" w:eastAsia="zh-CN" w:bidi="ar-SA"/>
        </w:rPr>
      </w:pPr>
      <w:r>
        <w:rPr/>
      </w:r>
    </w:p>
    <w:p>
      <w:pPr>
        <w:pStyle w:val="Normal"/>
        <w:rPr/>
      </w:pPr>
      <w:r>
        <w:rPr/>
      </w:r>
    </w:p>
    <w:tbl>
      <w:tblPr>
        <w:tblW w:w="10384" w:type="dxa"/>
        <w:jc w:val="left"/>
        <w:tblInd w:w="-1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27"/>
        <w:gridCol w:w="8581"/>
        <w:gridCol w:w="1176"/>
      </w:tblGrid>
      <w:tr>
        <w:trPr>
          <w:tblHeader w:val="tru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8" w:type="dxa"/>
            </w:tcMar>
            <w:vAlign w:val="center"/>
          </w:tcPr>
          <w:p>
            <w:pPr>
              <w:pStyle w:val="Normal"/>
              <w:tabs>
                <w:tab w:val="decimal" w:pos="375" w:leader="none"/>
              </w:tabs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Poz.</w:t>
            </w: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Nazwa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Ilość</w:t>
              <w:br/>
              <w:t>szt.</w:t>
            </w:r>
          </w:p>
        </w:tc>
      </w:tr>
      <w:tr>
        <w:trPr/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widowControl w:val="false"/>
              <w:tabs>
                <w:tab w:val="decimal" w:pos="375" w:leader="none"/>
              </w:tabs>
              <w:snapToGrid w:val="false"/>
              <w:jc w:val="righ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widowControl w:val="false"/>
              <w:tabs>
                <w:tab w:val="decimal" w:pos="375" w:leader="none"/>
              </w:tabs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Laptop o minimalnych parametrach: </w:t>
            </w:r>
          </w:p>
          <w:p>
            <w:pPr>
              <w:pStyle w:val="Normal"/>
              <w:widowControl w:val="false"/>
              <w:tabs>
                <w:tab w:val="decimal" w:pos="375" w:leader="none"/>
              </w:tabs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tbl>
            <w:tblPr>
              <w:tblW w:w="8372" w:type="dxa"/>
              <w:jc w:val="left"/>
              <w:tblInd w:w="0" w:type="dxa"/>
              <w:tblBorders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noVBand="0" w:val="0000" w:noHBand="0" w:lastColumn="0" w:firstColumn="0" w:lastRow="0" w:firstRow="0"/>
            </w:tblPr>
            <w:tblGrid>
              <w:gridCol w:w="3733"/>
              <w:gridCol w:w="4638"/>
            </w:tblGrid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Klasa produktu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notebook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Procesor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Wielordzeniowy z adresacją 64b; wyniki testów CPU: nie mniej niż 1.5 pkt (Cinebench R11.5 64bit Single-Core), nie mniej niż 3.66 pkt (Cinebench R11.5 64Bit Multi-Core); nie mniej niż 4702 pkt (Passmark CPU Mark)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Rodzaj dysku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Standardowy (nośnik magnetyczny) SATA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Pojemność dysku (HDD)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1 TB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Prędkość obrotowa silnika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5400 obr./min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Zainstalowana pamięć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8192 MB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Rodzaj pamięci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SODIMM DDR4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Częstotliwość szyny pamięci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2133 MHz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Maksymalna wielkość pamięci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16 GB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Ilość banków pamięci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2 szt.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Ilość wolnych banków pamięci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1 szt.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Przekątna ekranu LCD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15,6 cali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Typ ekranu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TFT Full-HD [LED] z powłoką przeciwodblaskową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Maksymalna rozdzielczość LCD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1920 x 1080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Typ karty graficznej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 xml:space="preserve">Zintegrowana 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Wyniki testów wydajnościowych grafiki zintegrowanej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cs="Arial" w:ascii="Arial" w:hAnsi="Arial"/>
                      <w:color w:val="000000"/>
                      <w:sz w:val="16"/>
                      <w:szCs w:val="16"/>
                      <w:lang w:val="en-US"/>
                    </w:rPr>
                    <w:t>min. 946 pkt. Passmark G3D Mark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Karta dźwiękowa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Tak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Złącza zewn.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  <w:lang w:val="en-US"/>
                    </w:rPr>
                    <w:t>1x USB 3.0 - Power Share</w:t>
                    <w:br/>
                    <w:t>1x USB 3.0</w:t>
                  </w:r>
                </w:p>
                <w:p>
                  <w:pPr>
                    <w:pStyle w:val="Normal"/>
                    <w:rPr/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1x USB 2.0</w:t>
                    <w:br/>
                    <w:t>1x RJ-45 (LAN)</w:t>
                    <w:br/>
                    <w:t>1 x HDMI</w:t>
                    <w:br/>
                    <w:t>1x połączone wejście słuchawkowe i mikrofonowe</w:t>
                    <w:br/>
                    <w:t>1x DC-In (wejście zasilania)</w:t>
                    <w:br/>
                    <w:t>1 x VGA</w:t>
                    <w:br/>
                    <w:t>1x Kensington Lock konektor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Bezprzewodowa karta sieciowa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Tak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Typ bezprzewodowej karty sieciowej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  <w:lang w:val="en-US"/>
                    </w:rPr>
                    <w:t>IEEE 802.11a/b/g/n/ac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Bluetooth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Tak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Karta sieciowa LAN [Mbps]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10/100/1000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Czytnik kart pamięci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Tak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Typy odczytywanych kart pamięci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SecureDigital Card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Rodzaj klawiatury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Wyspowa, z wbudowanym w klawiaturze podświetleniem z możliwością manualnej regulacji w BIOS jak i z pod systemu operacyjnego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Klawiatura numeryczna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Tak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Touchpad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Tak, ze strefą przewijania w pionie, poziomie wraz z obsługą gestów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Rodzaj baterii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Li-Ion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Liczba komór beterii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4 [56Whr]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 </w:t>
                  </w: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Mikrofon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Tak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 </w:t>
                  </w: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Kamera internetowa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Tak, z diodą informującą o aktywności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 </w:t>
                  </w: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Czytnik linii papilarnych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Tak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 </w:t>
                  </w: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Głośniki stereo (wbudowane)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 xml:space="preserve">Tak, </w:t>
                  </w:r>
                  <w:r>
                    <w:rPr>
                      <w:rFonts w:cs="Tahoma" w:ascii="Arial" w:hAnsi="Arial"/>
                      <w:bCs/>
                      <w:sz w:val="16"/>
                      <w:szCs w:val="16"/>
                    </w:rPr>
                    <w:t>o średniej mocy 2x 2W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Zasilacz sieciowy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Dołączony do zestawu o mocy min. 65W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Masa netto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max. 2 kg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Obudowa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jc w:val="both"/>
                    <w:rPr>
                      <w:rFonts w:ascii="Arial" w:hAnsi="Arial" w:cs="Tahoma"/>
                      <w:bCs/>
                      <w:sz w:val="16"/>
                      <w:szCs w:val="16"/>
                    </w:rPr>
                  </w:pPr>
                  <w:r>
                    <w:rPr>
                      <w:rFonts w:cs="Tahoma" w:ascii="Arial" w:hAnsi="Arial"/>
                      <w:bCs/>
                      <w:sz w:val="16"/>
                      <w:szCs w:val="16"/>
                    </w:rPr>
                    <w:t xml:space="preserve">Szkielet obudowy i zawiasy notebooka wykonany z wzmacnianego metalu. Kąt otwarcia notebooka min 140 stopni. 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Zainstalowany system operacyjny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Windows 10 Professional (64bit) + nośnik</w:t>
                    <w:br/>
                    <w:t>System musi być fabrycznie nowy, nie instalowany nigdzie wcześniej. Do systemu muszą być dołączone wszystkie możliwe atrybuty potwierdzające jego legalność. Oferowany dostarczony system jak i również przy reinstalacji nie może wymagać aktywacji klucza licencyjnego za pośrednictwem telefonu i Internetu)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1" w:name="__DdeLink__2285_898110403"/>
                  <w:bookmarkEnd w:id="1"/>
                  <w:r>
                    <w:rPr>
                      <w:rFonts w:cs="Arial" w:ascii="Arial" w:hAnsi="Arial"/>
                      <w:sz w:val="16"/>
                      <w:szCs w:val="16"/>
                    </w:rPr>
                    <w:t>3-letnia gwarancja producenta świadczona na miejscu u klienta, Czas reakcji serwisu - do końca następnego dnia roboczego.</w:t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decimal" w:pos="375" w:leader="none"/>
              </w:tabs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decimal" w:pos="375" w:leader="none"/>
              </w:tabs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decimal" w:pos="375" w:leader="none"/>
              </w:tabs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12</w:t>
            </w:r>
          </w:p>
        </w:tc>
      </w:tr>
      <w:tr>
        <w:trPr/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widowControl w:val="false"/>
              <w:tabs>
                <w:tab w:val="decimal" w:pos="375" w:leader="none"/>
              </w:tabs>
              <w:snapToGrid w:val="false"/>
              <w:jc w:val="righ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widowControl w:val="false"/>
              <w:tabs>
                <w:tab w:val="decimal" w:pos="375" w:leader="none"/>
              </w:tabs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Zasilacz o mocy 60W kompatybilny z komputerem MacBookPro 13. </w:t>
            </w:r>
            <w:r>
              <w:rPr>
                <w:rFonts w:eastAsia="Arial" w:cs="Arial" w:ascii="Arial" w:hAnsi="Arial"/>
                <w:sz w:val="20"/>
                <w:szCs w:val="20"/>
              </w:rPr>
              <w:t>Zasilacz musi być wyposażony we wtyczkę magnetyczną MagSafe.</w:t>
            </w:r>
          </w:p>
          <w:p>
            <w:pPr>
              <w:pStyle w:val="Normal"/>
              <w:widowControl w:val="false"/>
              <w:tabs>
                <w:tab w:val="decimal" w:pos="375" w:leader="none"/>
              </w:tabs>
              <w:rPr>
                <w:rFonts w:ascii="Arial" w:hAnsi="Arial" w:eastAsia="Arial" w:cs="Arial"/>
                <w:color w:val="00000A"/>
                <w:sz w:val="20"/>
                <w:szCs w:val="20"/>
                <w:lang w:val="pl-PL" w:eastAsia="zh-CN" w:bidi="ar-SA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  <w:lang w:val="pl-PL" w:eastAsia="zh-CN" w:bidi="ar-SA"/>
              </w:rPr>
              <w:t>Gwarancja minimum 1 rok.</w:t>
            </w:r>
          </w:p>
          <w:p>
            <w:pPr>
              <w:pStyle w:val="Normal"/>
              <w:widowControl w:val="false"/>
              <w:tabs>
                <w:tab w:val="decimal" w:pos="375" w:leader="none"/>
              </w:tabs>
              <w:rPr>
                <w:rFonts w:ascii="Arial" w:hAnsi="Arial" w:eastAsia="Arial" w:cs="Arial"/>
                <w:color w:val="00000A"/>
                <w:sz w:val="20"/>
                <w:szCs w:val="20"/>
                <w:lang w:val="pl-PL" w:eastAsia="zh-CN" w:bidi="ar-SA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  <w:lang w:val="pl-PL" w:eastAsia="zh-CN" w:bidi="ar-SA"/>
              </w:rPr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widowControl w:val="false"/>
              <w:tabs>
                <w:tab w:val="decimal" w:pos="375" w:leader="none"/>
              </w:tabs>
              <w:snapToGrid w:val="false"/>
              <w:jc w:val="righ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3</w:t>
            </w:r>
          </w:p>
          <w:p>
            <w:pPr>
              <w:pStyle w:val="Normal"/>
              <w:widowControl w:val="false"/>
              <w:tabs>
                <w:tab w:val="decimal" w:pos="375" w:leader="none"/>
              </w:tabs>
              <w:snapToGrid w:val="false"/>
              <w:jc w:val="righ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8" w:type="dxa"/>
            </w:tcMar>
          </w:tcPr>
          <w:p>
            <w:pPr>
              <w:pStyle w:val="PreformattedText"/>
              <w:widowControl w:val="false"/>
              <w:tabs>
                <w:tab w:val="decimal" w:pos="375" w:leader="none"/>
              </w:tabs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Stacja dokująca kompatybilna ze złączem znajdującym się na dole obudowy komputera Toshiba Portege Z30-B-10Q wraz z zasilaczem. </w:t>
            </w:r>
          </w:p>
          <w:p>
            <w:pPr>
              <w:pStyle w:val="PreformattedText"/>
              <w:widowControl w:val="false"/>
              <w:tabs>
                <w:tab w:val="decimal" w:pos="375" w:leader="none"/>
              </w:tabs>
              <w:rPr/>
            </w:pPr>
            <w:r>
              <w:rPr>
                <w:rFonts w:eastAsia="Arial" w:cs="Arial" w:ascii="Arial" w:hAnsi="Arial"/>
              </w:rPr>
              <w:t>Stacja musi posiadać przynajmniej następujące porty: LAN RJ-45 1Gbps, VGA, DVI-D, HDMI, Display Port, USB 2.0 oraz USB 3.0.</w:t>
            </w:r>
          </w:p>
          <w:p>
            <w:pPr>
              <w:pStyle w:val="Normal"/>
              <w:widowControl w:val="false"/>
              <w:tabs>
                <w:tab w:val="decimal" w:pos="375" w:leader="none"/>
              </w:tabs>
              <w:rPr>
                <w:rFonts w:ascii="Arial" w:hAnsi="Arial" w:eastAsia="Arial" w:cs="Arial"/>
                <w:color w:val="00000A"/>
                <w:sz w:val="20"/>
                <w:szCs w:val="20"/>
                <w:lang w:val="pl-PL" w:eastAsia="zh-CN" w:bidi="ar-SA"/>
              </w:rPr>
            </w:pPr>
            <w:bookmarkStart w:id="2" w:name="__DdeLink__2108_1317378139"/>
            <w:bookmarkStart w:id="3" w:name="__DdeLink__2118_2516397786"/>
            <w:bookmarkEnd w:id="2"/>
            <w:bookmarkEnd w:id="3"/>
            <w:r>
              <w:rPr>
                <w:rFonts w:eastAsia="Arial" w:cs="Arial" w:ascii="Arial" w:hAnsi="Arial"/>
                <w:color w:val="00000A"/>
                <w:sz w:val="20"/>
                <w:szCs w:val="20"/>
                <w:lang w:val="pl-PL" w:eastAsia="zh-CN" w:bidi="ar-SA"/>
              </w:rPr>
              <w:t>Gwarancja minimum 1 rok.</w:t>
            </w:r>
          </w:p>
          <w:p>
            <w:pPr>
              <w:pStyle w:val="Normal"/>
              <w:widowControl w:val="false"/>
              <w:tabs>
                <w:tab w:val="decimal" w:pos="375" w:leader="none"/>
              </w:tabs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widowControl w:val="false"/>
              <w:tabs>
                <w:tab w:val="decimal" w:pos="375" w:leader="none"/>
              </w:tabs>
              <w:snapToGrid w:val="false"/>
              <w:jc w:val="righ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widowControl w:val="false"/>
              <w:tabs>
                <w:tab w:val="decimal" w:pos="375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Bateria wewnętrzna do komputera przenośnego Dell Vostro V131.</w:t>
            </w:r>
          </w:p>
          <w:p>
            <w:pPr>
              <w:pStyle w:val="Normal"/>
              <w:widowControl w:val="false"/>
              <w:tabs>
                <w:tab w:val="decimal" w:pos="375" w:leader="none"/>
              </w:tabs>
              <w:rPr/>
            </w:pPr>
            <w:r>
              <w:rPr>
                <w:rFonts w:cs="Arial" w:ascii="Arial" w:hAnsi="Arial"/>
                <w:sz w:val="20"/>
                <w:szCs w:val="20"/>
              </w:rPr>
              <w:t>Bateria musi mieć pojemność przynajmniej 49Wh.</w:t>
            </w:r>
          </w:p>
          <w:p>
            <w:pPr>
              <w:pStyle w:val="Normal"/>
              <w:widowControl w:val="false"/>
              <w:tabs>
                <w:tab w:val="decimal" w:pos="375" w:leader="none"/>
              </w:tabs>
              <w:rPr>
                <w:rFonts w:ascii="Arial" w:hAnsi="Arial" w:eastAsia="Arial" w:cs="Arial"/>
                <w:color w:val="00000A"/>
                <w:sz w:val="20"/>
                <w:szCs w:val="20"/>
                <w:lang w:val="pl-PL" w:eastAsia="zh-CN" w:bidi="ar-SA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  <w:lang w:val="pl-PL" w:eastAsia="zh-CN" w:bidi="ar-SA"/>
              </w:rPr>
              <w:t>Gwarancja minimum 1 rok.</w:t>
            </w:r>
          </w:p>
          <w:p>
            <w:pPr>
              <w:pStyle w:val="Normal"/>
              <w:widowControl w:val="false"/>
              <w:tabs>
                <w:tab w:val="decimal" w:pos="375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widowControl w:val="false"/>
              <w:tabs>
                <w:tab w:val="decimal" w:pos="375" w:leader="none"/>
              </w:tabs>
              <w:snapToGrid w:val="false"/>
              <w:jc w:val="righ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8" w:type="dxa"/>
            </w:tcMar>
          </w:tcPr>
          <w:p>
            <w:pPr>
              <w:pStyle w:val="PreformattedText"/>
              <w:widowControl w:val="false"/>
              <w:tabs>
                <w:tab w:val="decimal" w:pos="375" w:leader="none"/>
              </w:tabs>
              <w:rPr/>
            </w:pPr>
            <w:r>
              <w:rPr>
                <w:rFonts w:eastAsia="Arial" w:cs="Arial" w:ascii="Arial" w:hAnsi="Arial"/>
                <w:b/>
              </w:rPr>
              <w:t xml:space="preserve">Pamięć RAM kompatybilna z komputerem </w:t>
            </w:r>
            <w:r>
              <w:rPr>
                <w:b/>
                <w:bCs/>
              </w:rPr>
              <w:t>Vostro 3350 o parametrach:</w:t>
            </w:r>
          </w:p>
          <w:tbl>
            <w:tblPr>
              <w:tblW w:w="8372" w:type="dxa"/>
              <w:jc w:val="left"/>
              <w:tblInd w:w="0" w:type="dxa"/>
              <w:tblBorders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noVBand="0" w:val="0000" w:noHBand="0" w:lastColumn="0" w:firstColumn="0" w:lastRow="0" w:firstRow="0"/>
            </w:tblPr>
            <w:tblGrid>
              <w:gridCol w:w="3733"/>
              <w:gridCol w:w="4638"/>
            </w:tblGrid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Pojemność pamięci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4096 MB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Rodzaj pamięci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SODIMM DDR3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Częstotliwość szyny pamięci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1333 MHz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Arial" w:hAnsi="Arial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Ilość modułów pamięci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1 szt.</w:t>
                  </w:r>
                </w:p>
              </w:tc>
            </w:tr>
            <w:tr>
              <w:trPr/>
              <w:tc>
                <w:tcPr>
                  <w:tcW w:w="3733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rFonts w:cs="Arial"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8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>
                      <w:rFonts w:eastAsia="Times New Roman" w:cs="Arial" w:ascii="Arial" w:hAnsi="Arial"/>
                      <w:sz w:val="16"/>
                      <w:szCs w:val="16"/>
                      <w:lang w:bidi="ar-SA"/>
                    </w:rPr>
                    <w:t>Miniumum 2 lata</w:t>
                  </w:r>
                </w:p>
              </w:tc>
            </w:tr>
          </w:tbl>
          <w:p>
            <w:pPr>
              <w:pStyle w:val="PreformattedText"/>
              <w:widowControl w:val="false"/>
              <w:tabs>
                <w:tab w:val="decimal" w:pos="375" w:leader="none"/>
              </w:tabs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  <w:p>
            <w:pPr>
              <w:pStyle w:val="PreformattedText"/>
              <w:widowControl w:val="false"/>
              <w:tabs>
                <w:tab w:val="decimal" w:pos="375" w:leader="none"/>
              </w:tabs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widowControl w:val="false"/>
              <w:tabs>
                <w:tab w:val="decimal" w:pos="375" w:leader="none"/>
              </w:tabs>
              <w:snapToGrid w:val="false"/>
              <w:jc w:val="righ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widowControl w:val="false"/>
              <w:tabs>
                <w:tab w:val="decimal" w:pos="375" w:leader="none"/>
              </w:tabs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Uwaga:</w:t>
            </w:r>
          </w:p>
          <w:p>
            <w:pPr>
              <w:pStyle w:val="Normal"/>
              <w:widowControl w:val="false"/>
              <w:ind w:left="16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testy wydajnościowe na podstawie stron www:</w:t>
            </w:r>
          </w:p>
          <w:p>
            <w:pPr>
              <w:pStyle w:val="Normal"/>
              <w:widowControl w:val="false"/>
              <w:ind w:left="1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- dla procesorów "PassMark - CPU Mark" na dzień 30.06.2017:</w:t>
            </w:r>
          </w:p>
          <w:p>
            <w:pPr>
              <w:pStyle w:val="Normal"/>
              <w:widowControl w:val="false"/>
              <w:ind w:left="795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http://www.cpubenchmark.net/cpu_list.php</w:t>
            </w:r>
          </w:p>
          <w:p>
            <w:pPr>
              <w:pStyle w:val="Normal"/>
              <w:widowControl w:val="false"/>
              <w:tabs>
                <w:tab w:val="left" w:pos="1236" w:leader="none"/>
              </w:tabs>
              <w:ind w:left="795" w:hanging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i</w:t>
              <w:tab/>
            </w:r>
          </w:p>
          <w:p>
            <w:pPr>
              <w:pStyle w:val="Normal"/>
              <w:widowControl w:val="false"/>
              <w:ind w:left="795" w:hanging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Arial" w:cs="Arial" w:ascii="Arial" w:hAnsi="Arial"/>
                <w:sz w:val="20"/>
                <w:szCs w:val="20"/>
                <w:lang w:val="en-US"/>
              </w:rPr>
              <w:t>“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Cinebench R11.5 CPU 64b Single-Core” / “Cinebench R11.5 CPU 64b Multi-Core” na dzień  30.06.2017</w:t>
            </w:r>
          </w:p>
          <w:p>
            <w:pPr>
              <w:pStyle w:val="Normal"/>
              <w:widowControl w:val="false"/>
              <w:ind w:left="795" w:hanging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http://www.cpu-monkey.com/en</w:t>
            </w:r>
          </w:p>
          <w:p>
            <w:pPr>
              <w:pStyle w:val="Normal"/>
              <w:widowControl w:val="false"/>
              <w:tabs>
                <w:tab w:val="decimal" w:pos="375" w:leader="none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decimal" w:pos="375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- dla kart graficznych: „Passmark G3D Mark” na dzień 27.06.2017: </w:t>
            </w:r>
          </w:p>
          <w:p>
            <w:pPr>
              <w:pStyle w:val="Normal"/>
              <w:widowControl w:val="false"/>
              <w:tabs>
                <w:tab w:val="decimal" w:pos="375" w:leader="none"/>
              </w:tabs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ab/>
              <w:t>http://www.videocardbenchmark.net/gpu_list.php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134" w:footer="545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2390" cy="170815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70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5040" rIns="5040" tIns="5040" bIns="50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fillcolor="white" stroked="f" style="position:absolute;margin-left:223.9pt;margin-top:0.05pt;width:5.6pt;height:13.35pt;mso-position-horizontal:center;mso-position-horizontal-relative:margin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isplayBackgroundShape/>
  <w:defaultTabStop w:val="4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Heading1">
    <w:name w:val="Heading 1"/>
    <w:basedOn w:val="Heading"/>
    <w:qFormat/>
    <w:pPr>
      <w:numPr>
        <w:ilvl w:val="0"/>
        <w:numId w:val="1"/>
      </w:numPr>
      <w:outlineLvl w:val="0"/>
    </w:pPr>
    <w:rPr>
      <w:rFonts w:ascii="Liberation Serif;Times New Roma" w:hAnsi="Liberation Serif;Times New Roma"/>
      <w:b/>
      <w:bCs/>
      <w:sz w:val="48"/>
      <w:szCs w:val="48"/>
    </w:rPr>
  </w:style>
  <w:style w:type="paragraph" w:styleId="Heading2">
    <w:name w:val="Heading 2"/>
    <w:basedOn w:val="Heading"/>
    <w:qFormat/>
    <w:pPr>
      <w:outlineLvl w:val="1"/>
    </w:pPr>
    <w:rPr/>
  </w:style>
  <w:style w:type="paragraph" w:styleId="Heading3">
    <w:name w:val="Heading 3"/>
    <w:basedOn w:val="Heading"/>
    <w:qFormat/>
    <w:pPr>
      <w:numPr>
        <w:ilvl w:val="2"/>
        <w:numId w:val="1"/>
      </w:numPr>
      <w:spacing w:before="140" w:after="120"/>
      <w:outlineLvl w:val="2"/>
    </w:pPr>
    <w:rPr>
      <w:rFonts w:ascii="Liberation Serif;Times New Roma" w:hAnsi="Liberation Serif;Times New Roma"/>
      <w:b/>
      <w:bCs/>
    </w:rPr>
  </w:style>
  <w:style w:type="paragraph" w:styleId="Heading4">
    <w:name w:val="Heading 4"/>
    <w:basedOn w:val="Heading"/>
    <w:qFormat/>
    <w:pPr>
      <w:spacing w:before="120" w:after="120"/>
      <w:outlineLvl w:val="3"/>
    </w:pPr>
    <w:rPr>
      <w:rFonts w:ascii="Liberation Serif;Times New Roma" w:hAnsi="Liberation Serif;Times New R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" w:customStyle="1">
    <w:name w:val="Absatz-Standardschriftart"/>
    <w:qFormat/>
    <w:rPr/>
  </w:style>
  <w:style w:type="character" w:styleId="WW8Num2z0" w:customStyle="1">
    <w:name w:val="WW8Num2z0"/>
    <w:qFormat/>
    <w:rPr>
      <w:rFonts w:ascii="Times New Roman" w:hAnsi="Times New Roman" w:cs="Times New Roman"/>
      <w:sz w:val="20"/>
      <w:szCs w:val="20"/>
    </w:rPr>
  </w:style>
  <w:style w:type="character" w:styleId="WW8Num3z0" w:customStyle="1">
    <w:name w:val="WW8Num3z0"/>
    <w:qFormat/>
    <w:rPr>
      <w:rFonts w:ascii="Arial" w:hAnsi="Arial" w:eastAsia="Times New Roman" w:cs="Aria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>
      <w:b/>
    </w:rPr>
  </w:style>
  <w:style w:type="character" w:styleId="WW8Num4z1" w:customStyle="1">
    <w:name w:val="WW8Num4z1"/>
    <w:qFormat/>
    <w:rPr>
      <w:strike w:val="false"/>
      <w:dstrike w:val="false"/>
    </w:rPr>
  </w:style>
  <w:style w:type="character" w:styleId="WW8Num6z0" w:customStyle="1">
    <w:name w:val="WW8Num6z0"/>
    <w:qFormat/>
    <w:rPr>
      <w:b/>
    </w:rPr>
  </w:style>
  <w:style w:type="character" w:styleId="WW8Num9z0" w:customStyle="1">
    <w:name w:val="WW8Num9z0"/>
    <w:qFormat/>
    <w:rPr>
      <w:b/>
    </w:rPr>
  </w:style>
  <w:style w:type="character" w:styleId="WW8Num11z0" w:customStyle="1">
    <w:name w:val="WW8Num11z0"/>
    <w:qFormat/>
    <w:rPr>
      <w:b/>
    </w:rPr>
  </w:style>
  <w:style w:type="character" w:styleId="Domylnaczcionkaakapitu1" w:customStyle="1">
    <w:name w:val="Domyślna czcionka akapitu1"/>
    <w:qFormat/>
    <w:rPr/>
  </w:style>
  <w:style w:type="character" w:styleId="Czeinternetowe" w:customStyle="1">
    <w:name w:val="Łącze internetowe"/>
    <w:qFormat/>
    <w:rPr>
      <w:color w:val="0000FF"/>
      <w:u w:val="single"/>
    </w:rPr>
  </w:style>
  <w:style w:type="character" w:styleId="Mocnowyrniony" w:customStyle="1">
    <w:name w:val="Mocno wyróżniony"/>
    <w:qFormat/>
    <w:rPr>
      <w:b/>
      <w:bCs/>
    </w:rPr>
  </w:style>
  <w:style w:type="character" w:styleId="Odwiedzoneczeinternetowe" w:customStyle="1">
    <w:name w:val="Odwiedzone łącze internetowe"/>
    <w:qFormat/>
    <w:rPr>
      <w:color w:val="800080"/>
      <w:u w:val="single"/>
    </w:rPr>
  </w:style>
  <w:style w:type="character" w:styleId="Numerstron" w:customStyle="1">
    <w:name w:val="Numer stron"/>
    <w:basedOn w:val="Domylnaczcionkaakapitu1"/>
    <w:qFormat/>
    <w:rPr/>
  </w:style>
  <w:style w:type="character" w:styleId="ZnakZnak3" w:customStyle="1">
    <w:name w:val="Znak Znak3"/>
    <w:qFormat/>
    <w:rPr>
      <w:rFonts w:ascii="Tahoma" w:hAnsi="Tahoma" w:eastAsia="Times New Roman" w:cs="Tahoma"/>
      <w:sz w:val="16"/>
      <w:szCs w:val="16"/>
    </w:rPr>
  </w:style>
  <w:style w:type="character" w:styleId="ZnakZnak2" w:customStyle="1">
    <w:name w:val="Znak Znak2"/>
    <w:qFormat/>
    <w:rPr>
      <w:rFonts w:ascii="Arial" w:hAnsi="Arial" w:eastAsia="Times New Roman" w:cs="Arial"/>
      <w:vanish/>
      <w:sz w:val="16"/>
      <w:szCs w:val="16"/>
    </w:rPr>
  </w:style>
  <w:style w:type="character" w:styleId="ZnakZnak1" w:customStyle="1">
    <w:name w:val="Znak Znak1"/>
    <w:qFormat/>
    <w:rPr>
      <w:rFonts w:ascii="Arial" w:hAnsi="Arial" w:eastAsia="Times New Roman" w:cs="Arial"/>
      <w:vanish/>
      <w:sz w:val="16"/>
      <w:szCs w:val="16"/>
    </w:rPr>
  </w:style>
  <w:style w:type="character" w:styleId="Tah8b1" w:customStyle="1">
    <w:name w:val="tah8b1"/>
    <w:qFormat/>
    <w:rPr>
      <w:rFonts w:ascii="Tahoma" w:hAnsi="Tahoma" w:cs="Tahoma"/>
      <w:b/>
      <w:bCs/>
      <w:strike w:val="false"/>
      <w:dstrike w:val="false"/>
      <w:sz w:val="16"/>
      <w:szCs w:val="16"/>
      <w:u w:val="none"/>
    </w:rPr>
  </w:style>
  <w:style w:type="character" w:styleId="ZnakZnak" w:customStyle="1">
    <w:name w:val="Znak Znak"/>
    <w:qFormat/>
    <w:rPr>
      <w:rFonts w:ascii="Times New Roman" w:hAnsi="Times New Roman" w:eastAsia="Times New Roman" w:cs="Times New Roman"/>
      <w:sz w:val="24"/>
      <w:szCs w:val="24"/>
    </w:rPr>
  </w:style>
  <w:style w:type="character" w:styleId="NumberingSymbols" w:customStyle="1">
    <w:name w:val="Numbering Symbols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Tahoma" w:cs="Lohit Devanagari;Times New R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;Times New Roma"/>
    </w:rPr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;Times New Roma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Lohit Hindi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rial" w:hAnsi="Arial" w:eastAsia="Droid Sans Fallback" w:cs="Lohit Hindi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styleId="WWDomylnie" w:customStyle="1">
    <w:name w:val="WW-Domyślnie"/>
    <w:qFormat/>
    <w:pPr>
      <w:widowControl/>
      <w:tabs>
        <w:tab w:val="left" w:pos="709" w:leader="none"/>
      </w:tabs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landokumentu" w:customStyle="1">
    <w:name w:val="Plan dokumentu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/>
    <w:rPr/>
  </w:style>
  <w:style w:type="paragraph" w:styleId="HTMLTopofForm">
    <w:name w:val="HTML Top of Form"/>
    <w:basedOn w:val="Normal"/>
    <w:qFormat/>
    <w:pPr>
      <w:pBdr>
        <w:bottom w:val="single" w:sz="6" w:space="1" w:color="000001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qFormat/>
    <w:pPr>
      <w:pBdr>
        <w:top w:val="single" w:sz="6" w:space="1" w:color="000001"/>
      </w:pBdr>
      <w:jc w:val="center"/>
    </w:pPr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</w:pPr>
    <w:rPr>
      <w:rFonts w:ascii="Calibri" w:hAnsi="Calibri" w:eastAsia="Droid Sans Fallback" w:cs="Calibri"/>
      <w:color w:val="00000A"/>
      <w:sz w:val="22"/>
      <w:szCs w:val="22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Zawartoramki" w:customStyle="1">
    <w:name w:val="Zawartość ramki"/>
    <w:basedOn w:val="TextBody"/>
    <w:qFormat/>
    <w:pPr/>
    <w:rPr/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FrameContents" w:customStyle="1">
    <w:name w:val="Frame Contents"/>
    <w:basedOn w:val="Normal"/>
    <w:qFormat/>
    <w:pPr/>
    <w:rPr/>
  </w:style>
  <w:style w:type="paragraph" w:styleId="PreformattedText" w:customStyle="1">
    <w:name w:val="Preformatted Text"/>
    <w:basedOn w:val="Normal"/>
    <w:qFormat/>
    <w:pPr/>
    <w:rPr>
      <w:rFonts w:ascii="Liberation Mono;Courier New" w:hAnsi="Liberation Mono;Courier New" w:eastAsia="DejaVu Sans Mono" w:cs="Liberation Mono;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Application>LibreOffice/5.3.6.1$Linux_X86_64 LibreOffice_project/30$Build-1</Application>
  <Pages>2</Pages>
  <Words>552</Words>
  <Characters>3319</Characters>
  <CharactersWithSpaces>3761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2017-09-13T13:54:00Z</dcterms:created>
  <dc:creator>Konrad Klimaszewski</dc:creator>
  <dc:description/>
  <dc:language>pl-PL</dc:language>
  <cp:lastModifiedBy>Michał Wójcik</cp:lastModifiedBy>
  <cp:lastPrinted>2017-08-31T13:11:00Z</cp:lastPrinted>
  <dcterms:modified xsi:type="dcterms:W3CDTF">2017-10-12T13:51:34Z</dcterms:modified>
  <cp:revision>11</cp:revision>
  <dc:subject/>
  <dc:title>Zał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