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0A" w:rsidRPr="00917A3A" w:rsidRDefault="008B1F0A" w:rsidP="00795089">
      <w:pPr>
        <w:jc w:val="right"/>
        <w:outlineLvl w:val="0"/>
        <w:rPr>
          <w:rFonts w:ascii="Calibri" w:hAnsi="Calibri" w:cs="Arial"/>
          <w:sz w:val="22"/>
          <w:szCs w:val="22"/>
        </w:rPr>
      </w:pPr>
      <w:r w:rsidRPr="00917A3A">
        <w:rPr>
          <w:rFonts w:ascii="Calibri" w:hAnsi="Calibri" w:cs="Arial"/>
          <w:sz w:val="22"/>
          <w:szCs w:val="22"/>
        </w:rPr>
        <w:t>Załącznik  Nr 1 do SIWZ</w:t>
      </w:r>
    </w:p>
    <w:p w:rsidR="008B1F0A" w:rsidRPr="00917A3A" w:rsidRDefault="008B1F0A" w:rsidP="00795089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8B1F0A" w:rsidRPr="00917A3A" w:rsidRDefault="008B1F0A" w:rsidP="00795089">
      <w:pPr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917A3A">
        <w:rPr>
          <w:rFonts w:ascii="Calibri" w:hAnsi="Calibri" w:cs="Arial"/>
          <w:b/>
          <w:sz w:val="22"/>
          <w:szCs w:val="22"/>
        </w:rPr>
        <w:t>Specyfikacja techniczno – ilościowa</w:t>
      </w:r>
    </w:p>
    <w:p w:rsidR="008B1F0A" w:rsidRPr="00917A3A" w:rsidRDefault="008B1F0A">
      <w:pPr>
        <w:rPr>
          <w:rFonts w:ascii="Calibri" w:hAnsi="Calibri" w:cs="Arial"/>
          <w:sz w:val="22"/>
          <w:szCs w:val="22"/>
        </w:rPr>
      </w:pPr>
    </w:p>
    <w:tbl>
      <w:tblPr>
        <w:tblW w:w="961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480"/>
        <w:gridCol w:w="2638"/>
        <w:gridCol w:w="5925"/>
        <w:gridCol w:w="567"/>
      </w:tblGrid>
      <w:tr w:rsidR="008B1F0A" w:rsidRPr="00917A3A" w:rsidTr="009164D2">
        <w:tc>
          <w:tcPr>
            <w:tcW w:w="480" w:type="dxa"/>
            <w:tcBorders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7A3A">
              <w:rPr>
                <w:rFonts w:ascii="Calibri" w:hAnsi="Calibri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38" w:type="dxa"/>
            <w:tcBorders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7A3A">
              <w:rPr>
                <w:rFonts w:ascii="Calibri" w:hAnsi="Calibri" w:cs="Arial"/>
                <w:b/>
                <w:bCs/>
                <w:sz w:val="22"/>
                <w:szCs w:val="22"/>
              </w:rPr>
              <w:t>Typ urządzenia</w:t>
            </w:r>
          </w:p>
        </w:tc>
        <w:tc>
          <w:tcPr>
            <w:tcW w:w="5925" w:type="dxa"/>
            <w:tcBorders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7A3A">
              <w:rPr>
                <w:rFonts w:ascii="Calibri" w:hAnsi="Calibri" w:cs="Arial"/>
                <w:b/>
                <w:bCs/>
                <w:sz w:val="22"/>
                <w:szCs w:val="22"/>
              </w:rPr>
              <w:t>Wymagania minimalne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7A3A">
              <w:rPr>
                <w:rFonts w:ascii="Calibri" w:hAnsi="Calibri" w:cs="Arial"/>
                <w:b/>
                <w:bCs/>
                <w:sz w:val="22"/>
                <w:szCs w:val="22"/>
              </w:rPr>
              <w:t>Ilość</w:t>
            </w:r>
          </w:p>
        </w:tc>
      </w:tr>
      <w:tr w:rsidR="008B1F0A" w:rsidRPr="00917A3A" w:rsidTr="009164D2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Przełącznik sieciowy 48p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Przełączniki sieciowe 48 portowe ze wsparciem PoE-Plus, posiadające 4 porty 10Gbit/s przy czym 2 porty umożliwiające utworzenie uplinku 10Gbit/s i 2 porty 10Gbit/s umożliwiające utworzenie stosu z zainstalowanymi na terenie przełącznikami serii Extreme X67</w:t>
            </w:r>
            <w:bookmarkStart w:id="0" w:name="_GoBack"/>
            <w:bookmarkEnd w:id="0"/>
            <w:r w:rsidRPr="00917A3A">
              <w:rPr>
                <w:rFonts w:ascii="Calibri" w:hAnsi="Calibri" w:cs="Arial"/>
                <w:sz w:val="22"/>
                <w:szCs w:val="22"/>
              </w:rPr>
              <w:t>0 i X440.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</w:tr>
      <w:tr w:rsidR="008B1F0A" w:rsidRPr="00917A3A" w:rsidTr="009164D2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Kable połączeniowe SFP+ 1m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1. Kabel połączeniowy w standardzie SFP+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2. Działająca z prędkością 10 Gbit/FD (Full Duplex)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3. Zakończony wtykami SFP+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4. Zgodny z dostarczanymi przełącznikami sieciowymi.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</w:tr>
      <w:tr w:rsidR="008B1F0A" w:rsidRPr="00917A3A" w:rsidTr="009164D2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Wkładki światłowodowe SFP+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1. Wkładka w standardzie SFP+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2. Działająca z prędkością 10 Gbit/FD (Full Duplex)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3. Zakończona gniazdem LC-Duplex (Dual-LC)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4. Zasięg 10Km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5. Obsługa DDM - Digital diagnostics monitoring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6. Zgodna z zamawianymi urządzeniami posiadającymi porty 10Gbit/s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</w:tr>
      <w:tr w:rsidR="008B1F0A" w:rsidRPr="00917A3A" w:rsidTr="009164D2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Router sieciowy 8 portów 1Gb/s + 2 port 10 Gb/s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17A3A">
              <w:rPr>
                <w:rFonts w:ascii="Calibri" w:hAnsi="Calibri" w:cs="Arial"/>
                <w:sz w:val="22"/>
                <w:szCs w:val="22"/>
                <w:lang w:val="en-GB"/>
              </w:rPr>
              <w:t>1. 8x Gigabit Ethernet (10/100/1000Mbps) RJ45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17A3A">
              <w:rPr>
                <w:rFonts w:ascii="Calibri" w:hAnsi="Calibri" w:cs="Arial"/>
                <w:sz w:val="22"/>
                <w:szCs w:val="22"/>
                <w:lang w:val="en-GB"/>
              </w:rPr>
              <w:t>2. 2x Interfejs SFP+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3. 4GB pamięci RAM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4. 1x port USB/microUSB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5. obsługa sieci VPN (Ipsec, PPTP, L2TP)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6. możliwość tworzenia tuneli na warstwie L2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7. możliwość działania jako koncentrator VPN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8. obsługa sieci VLAN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9. firewall sieciowy z śledzeniem połączeń (stateful firewall), dający możliwością definiowania polityk dostępu po adresach i portach protokołu IP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10. obsługa protokołów dynamicznego routing-u (RIP, OSPF)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11. obsługa  MPLS/VPLS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12. obsługa mechanizmu translacji adresów NAT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13. wsparcie dla IPv6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 xml:space="preserve">14. możliwość kontroli pasma sieciowego po adresach i portach protokołu IP 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15. wbudowane narzędzia Ping, Traceroute, Packet Sniffer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16. konfiguracja przy pomocy WWW, SSH v2, Telnet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17. ponadto obsługa standardów NTP Client, VRRP i SNMP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18. maksymalny pobór mocy 200W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 xml:space="preserve">19. obudowa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917A3A">
                <w:rPr>
                  <w:rFonts w:ascii="Calibri" w:hAnsi="Calibri" w:cs="Arial"/>
                  <w:sz w:val="22"/>
                  <w:szCs w:val="22"/>
                </w:rPr>
                <w:t>19”</w:t>
              </w:r>
            </w:smartTag>
            <w:r w:rsidRPr="00917A3A">
              <w:rPr>
                <w:rFonts w:ascii="Calibri" w:hAnsi="Calibri" w:cs="Arial"/>
                <w:sz w:val="22"/>
                <w:szCs w:val="22"/>
              </w:rPr>
              <w:t xml:space="preserve"> z możliwością zamontowania w szafie typu RACK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20. możliwość dostępu do portu konsoli urządzenia poprzez sieć TCP/IP, realizowana za pomocą dedykowanego portu lub  poprzez dostarczony razem z urządzeniem konwerter RS232-&gt;Ethernet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21. W przypadku użycia konwertera RS232-&gt;Ethernet, konwerter powinien:</w:t>
            </w:r>
          </w:p>
          <w:p w:rsidR="008B1F0A" w:rsidRPr="00917A3A" w:rsidRDefault="008B1F0A">
            <w:pPr>
              <w:pStyle w:val="Zawartotabeli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zostać dostarczony z kablem umożliwiającym podłączeniu routera</w:t>
            </w:r>
          </w:p>
          <w:p w:rsidR="008B1F0A" w:rsidRPr="00917A3A" w:rsidRDefault="008B1F0A">
            <w:pPr>
              <w:pStyle w:val="Zawartotabeli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być zarządzany poprzez dedykowane oprogramowanie</w:t>
            </w:r>
          </w:p>
          <w:p w:rsidR="008B1F0A" w:rsidRPr="00917A3A" w:rsidRDefault="008B1F0A" w:rsidP="00D81D89">
            <w:pPr>
              <w:pStyle w:val="Zawartotabeli"/>
              <w:numPr>
                <w:ilvl w:val="0"/>
                <w:numId w:val="1"/>
              </w:numPr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umożliwiać zestawienie zdalnej sesji terminalowej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8B1F0A" w:rsidRPr="00917A3A" w:rsidTr="009164D2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Router sieciowy do podsieci zarządzającej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17A3A">
              <w:rPr>
                <w:rFonts w:ascii="Calibri" w:hAnsi="Calibri" w:cs="Arial"/>
                <w:sz w:val="22"/>
                <w:szCs w:val="22"/>
                <w:lang w:val="en-GB"/>
              </w:rPr>
              <w:t>1. 10x Fast Ethernet (10/100Mbps) RJ45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917A3A">
              <w:rPr>
                <w:rFonts w:ascii="Calibri" w:hAnsi="Calibri" w:cs="Arial"/>
                <w:sz w:val="22"/>
                <w:szCs w:val="22"/>
                <w:lang w:val="en-GB"/>
              </w:rPr>
              <w:t>2. 1x SFP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3. 128MB pamięci RAM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4. 1x port USB/microUSB z możliwością podpięcia modemu GSM i programowalnego sterowania zasilaniem na porcie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5. obsługa sieci VPN (Ipsec, PPTP, L2TP)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6. możliwość tworzenia tuneli na warstwie L2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7. obsługa sieci VLAN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8. firewall sieciowy z śledzeniem połączeń (stateful firewall), dający możliwością definiowania polityk dostępu po adresach i portach protokołu IP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9. obsługa mechanizmu translacji adresów NAT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10. wsparcie dla IPv6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11. możliwość kontroli pasma sieciowego po adresach i portach protokołu IP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12. wbudowane narzędzia Ping, Traceroute, Packet Sniffer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13. konfiguracja przy pomocy WWW, SSH v2, Telnet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14. ponadto obsługa standardów NTP Client i SNMP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15. maksymalny pobór mocy 50W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 xml:space="preserve">16. obudowa </w:t>
            </w:r>
            <w:smartTag w:uri="urn:schemas-microsoft-com:office:smarttags" w:element="metricconverter">
              <w:smartTagPr>
                <w:attr w:name="ProductID" w:val="19”"/>
              </w:smartTagPr>
              <w:r w:rsidRPr="00917A3A">
                <w:rPr>
                  <w:rFonts w:ascii="Calibri" w:hAnsi="Calibri" w:cs="Arial"/>
                  <w:sz w:val="22"/>
                  <w:szCs w:val="22"/>
                </w:rPr>
                <w:t>19”</w:t>
              </w:r>
            </w:smartTag>
            <w:r w:rsidRPr="00917A3A">
              <w:rPr>
                <w:rFonts w:ascii="Calibri" w:hAnsi="Calibri" w:cs="Arial"/>
                <w:sz w:val="22"/>
                <w:szCs w:val="22"/>
              </w:rPr>
              <w:t xml:space="preserve"> z możliwością zamontowania w szafie typu RACK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8B1F0A" w:rsidRPr="00917A3A" w:rsidTr="009164D2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Wkładki światłowodowe do routera podsieci zarządzającej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1. Wkładka w standardzie SFP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2. Działająca z prędkością 1Gbit/FD (Full Duplex)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3. Zakończona gniazdem LC-Duplex (Dual-LC)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4. Zasięg 10Km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5. Obsługa DDM - Digital diagnostics monitoring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6. Zgodna z dostarczanym urządzeniem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</w:tr>
      <w:tr w:rsidR="008B1F0A" w:rsidRPr="00917A3A" w:rsidTr="009164D2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Zestaw do pomiaru parametrów środowiskowych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Zestaw kontrolujący parametry środowiska musi umożliwić podłączenie do istniejącego kontrolera i zapewnić: pomiar prądu pobieranego przez LPD (bezinwazyjnie, złączem klamrowym), pomiar temperatury i dodatkowo posiadać czujnik kontaktronowy otwarcia drzwi.</w:t>
            </w:r>
          </w:p>
          <w:p w:rsidR="008B1F0A" w:rsidRPr="00917A3A" w:rsidRDefault="008B1F0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7A3A">
              <w:rPr>
                <w:rFonts w:ascii="Calibri" w:hAnsi="Calibri" w:cs="Arial"/>
                <w:b/>
                <w:bCs/>
                <w:sz w:val="22"/>
                <w:szCs w:val="22"/>
              </w:rPr>
              <w:t>Parametry podstawowe zestawu pomiarowego</w:t>
            </w:r>
          </w:p>
          <w:p w:rsidR="008B1F0A" w:rsidRPr="00917A3A" w:rsidRDefault="008B1F0A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Interfejs Ethernet 10/100Mbit/s</w:t>
            </w:r>
          </w:p>
          <w:p w:rsidR="008B1F0A" w:rsidRPr="00917A3A" w:rsidRDefault="008B1F0A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Możliwość zarządzania i odczytu parametrów poprzez dedykowane oprogramowanie</w:t>
            </w:r>
          </w:p>
          <w:p w:rsidR="008B1F0A" w:rsidRPr="00917A3A" w:rsidRDefault="008B1F0A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917A3A">
              <w:rPr>
                <w:rFonts w:ascii="Calibri" w:hAnsi="Calibri" w:cs="Arial"/>
                <w:b/>
                <w:bCs/>
                <w:sz w:val="22"/>
                <w:szCs w:val="22"/>
              </w:rPr>
              <w:t>Pomiar prądu</w:t>
            </w:r>
          </w:p>
          <w:p w:rsidR="008B1F0A" w:rsidRPr="00917A3A" w:rsidRDefault="008B1F0A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Zakres pomiarowy 0-100A</w:t>
            </w:r>
          </w:p>
          <w:p w:rsidR="008B1F0A" w:rsidRPr="00917A3A" w:rsidRDefault="008B1F0A">
            <w:pPr>
              <w:numPr>
                <w:ilvl w:val="0"/>
                <w:numId w:val="3"/>
              </w:numP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Urządzenie mierzące zakładane na mierzony przewód (bezinwazyjnie, złącze klamrowe)</w:t>
            </w:r>
          </w:p>
          <w:p w:rsidR="008B1F0A" w:rsidRPr="00917A3A" w:rsidRDefault="008B1F0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Pomiar temperatury</w:t>
            </w:r>
          </w:p>
          <w:p w:rsidR="008B1F0A" w:rsidRPr="00917A3A" w:rsidRDefault="008B1F0A">
            <w:pPr>
              <w:numPr>
                <w:ilvl w:val="0"/>
                <w:numId w:val="4"/>
              </w:numP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Składający się z pojedynczego czujnika temperatury</w:t>
            </w:r>
          </w:p>
          <w:p w:rsidR="008B1F0A" w:rsidRPr="00917A3A" w:rsidRDefault="008B1F0A">
            <w:pPr>
              <w:numPr>
                <w:ilvl w:val="0"/>
                <w:numId w:val="4"/>
              </w:numP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Zakres pomiarowy -10 do </w:t>
            </w:r>
            <w:smartTag w:uri="urn:schemas-microsoft-com:office:smarttags" w:element="metricconverter">
              <w:smartTagPr>
                <w:attr w:name="ProductID" w:val="50 stopni Celsjusza"/>
              </w:smartTagPr>
              <w:r w:rsidRPr="00917A3A">
                <w:rPr>
                  <w:rFonts w:ascii="Calibri" w:hAnsi="Calibri" w:cs="Arial"/>
                  <w:color w:val="000000"/>
                  <w:sz w:val="22"/>
                  <w:szCs w:val="22"/>
                  <w:lang w:eastAsia="pl-PL"/>
                </w:rPr>
                <w:t>50 stopni Celsjusza</w:t>
              </w:r>
            </w:smartTag>
          </w:p>
          <w:p w:rsidR="008B1F0A" w:rsidRPr="00917A3A" w:rsidRDefault="008B1F0A">
            <w:pPr>
              <w:numPr>
                <w:ilvl w:val="0"/>
                <w:numId w:val="4"/>
              </w:numP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Dokładność +/- 0,5 stopnia Celsjusza przy temperaturze otoczenia </w:t>
            </w:r>
            <w:smartTag w:uri="urn:schemas-microsoft-com:office:smarttags" w:element="metricconverter">
              <w:smartTagPr>
                <w:attr w:name="ProductID" w:val="25 stopni Celsjusza"/>
              </w:smartTagPr>
              <w:r w:rsidRPr="00917A3A">
                <w:rPr>
                  <w:rFonts w:ascii="Calibri" w:hAnsi="Calibri" w:cs="Arial"/>
                  <w:color w:val="000000"/>
                  <w:sz w:val="22"/>
                  <w:szCs w:val="22"/>
                  <w:lang w:eastAsia="pl-PL"/>
                </w:rPr>
                <w:t>25 stopni Celsjusza</w:t>
              </w:r>
            </w:smartTag>
          </w:p>
          <w:p w:rsidR="008B1F0A" w:rsidRPr="00917A3A" w:rsidRDefault="008B1F0A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Czujnik otwarci drzwi szafy</w:t>
            </w:r>
          </w:p>
          <w:p w:rsidR="008B1F0A" w:rsidRPr="00917A3A" w:rsidRDefault="008B1F0A">
            <w:pPr>
              <w:numPr>
                <w:ilvl w:val="0"/>
                <w:numId w:val="5"/>
              </w:numP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Składający się z dwóch elementów magnesu i elementu pomiarowego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8B1F0A" w:rsidRPr="00917A3A" w:rsidTr="009164D2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UPS 1 kVA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334845" w:rsidRDefault="008B1F0A" w:rsidP="00492021">
            <w:pPr>
              <w:pStyle w:val="PlainText"/>
              <w:numPr>
                <w:ilvl w:val="0"/>
                <w:numId w:val="8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moc wyjściowa   900W/ 1000VA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8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obudowa typu rack 19"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8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częstotliwość na wyjściu (synchronicznie z siecią) 50/60 Hz +/- 0,2 %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8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topologia on-line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8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typ przebiegu czysta sinusoida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8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gniazda wyjściowe 8 x C13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8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ochrona przed (przepięciami, przeciążeniami)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8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pasujący do szafy o głębokości 600mm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8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panel przedni wyposażony w wyświetlacz LCD pokazujący: tryb AC, poziom naładowania, stan baterii, napięcie wejściowe, napięcie wyjściowe, przeciążenie, błąd i niski stan baterii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8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możliwość demontażu baterii po zdjęciu przedniego panelu, bez potrzeby wykręcania urządzenia z szafy rack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8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okres gwarancji 2 lata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8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urządzenie UPS muszą pochodzić od jednego producenta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8B1F0A" w:rsidRPr="00917A3A" w:rsidTr="009164D2">
        <w:tc>
          <w:tcPr>
            <w:tcW w:w="480" w:type="dxa"/>
            <w:tcBorders>
              <w:top w:val="nil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UPS 2 kVA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right w:val="nil"/>
            </w:tcBorders>
            <w:tcMar>
              <w:left w:w="54" w:type="dxa"/>
            </w:tcMar>
          </w:tcPr>
          <w:p w:rsidR="008B1F0A" w:rsidRPr="00334845" w:rsidRDefault="008B1F0A" w:rsidP="00492021">
            <w:pPr>
              <w:pStyle w:val="PlainText"/>
              <w:numPr>
                <w:ilvl w:val="0"/>
                <w:numId w:val="9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moc wyjściowa   1800W/ 2000VA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9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obudowa typu rack 19"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9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częstotliwość na wyjściu (synchronicznie z siecią) 50/60 Hz +/- 0,2 %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9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topologia on-line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9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typ przebiegu czysta sinusoida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9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gniazda wyjściowe 8 x C13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9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ochrona przed (przepięciami, przeciążeniami)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9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pasujący do szafy o głębokości 600mm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9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panel przedni wyposażony w wyświetlacz LCD pokazujący: tryb AC, poziom naładowania, stan baterii, napięcie wejściowe, napięcie wyjściowe, przeciążenie, błąd i niski stan baterii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9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możliwość demontażu baterii po zdjęciu przedniego panelu, bez potrzeby wykręcania urządzenia z szafy rack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9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okres gwarancji 2 lata</w:t>
            </w:r>
          </w:p>
          <w:p w:rsidR="008B1F0A" w:rsidRPr="00334845" w:rsidRDefault="008B1F0A" w:rsidP="00492021">
            <w:pPr>
              <w:pStyle w:val="PlainText"/>
              <w:numPr>
                <w:ilvl w:val="0"/>
                <w:numId w:val="9"/>
              </w:numPr>
              <w:ind w:left="376"/>
              <w:rPr>
                <w:rFonts w:cs="Arial"/>
                <w:szCs w:val="22"/>
              </w:rPr>
            </w:pPr>
            <w:r w:rsidRPr="00334845">
              <w:rPr>
                <w:rFonts w:cs="Arial"/>
                <w:szCs w:val="22"/>
              </w:rPr>
              <w:t>urządzenie UPS muszą pochodzić od jednego producenta</w:t>
            </w:r>
          </w:p>
        </w:tc>
        <w:tc>
          <w:tcPr>
            <w:tcW w:w="567" w:type="dxa"/>
            <w:tcBorders>
              <w:top w:val="nil"/>
              <w:left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8B1F0A" w:rsidRPr="00917A3A" w:rsidTr="009164D2">
        <w:tc>
          <w:tcPr>
            <w:tcW w:w="480" w:type="dxa"/>
            <w:tcBorders>
              <w:top w:val="nil"/>
              <w:bottom w:val="single" w:sz="4" w:space="0" w:color="auto"/>
              <w:right w:val="nil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263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Punkt dostępowy sieci bezprzewodowej 2,4GHz i 5GHz, 802.11 a/b/g/n/ac, POE</w:t>
            </w:r>
          </w:p>
        </w:tc>
        <w:tc>
          <w:tcPr>
            <w:tcW w:w="592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left w:w="54" w:type="dxa"/>
            </w:tcMar>
          </w:tcPr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Punkty dostępowe dwuzakresowe 2,4GHz i 5GHz z możliwością podłączenia do działającego w NCBJ kontrolera WiFi uruchomionego na oprogramowaniu UniFi Controller v4. Obsługa standardu 802.11ac i PoE. Maksymalne szybkości transmisji danych: dla 2.4 Ghz - 450 Mb/s; dla 5 GHz - 1300 Mb/s.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10</w:t>
            </w:r>
          </w:p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B1F0A" w:rsidRPr="00917A3A" w:rsidTr="009164D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Patchcordy 0,33m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Kable połączeniowe mają być ekranowane, kategorii 6A, zalewane, certyfikowane.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200</w:t>
            </w:r>
          </w:p>
        </w:tc>
      </w:tr>
      <w:tr w:rsidR="008B1F0A" w:rsidRPr="00917A3A" w:rsidTr="009164D2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8B1F0A" w:rsidRPr="00917A3A" w:rsidRDefault="008B1F0A">
            <w:pPr>
              <w:spacing w:line="100" w:lineRule="atLeast"/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</w:pPr>
            <w:r w:rsidRPr="00917A3A">
              <w:rPr>
                <w:rFonts w:ascii="Calibri" w:hAnsi="Calibri" w:cs="Arial"/>
                <w:b/>
                <w:color w:val="000000"/>
                <w:sz w:val="22"/>
                <w:szCs w:val="22"/>
                <w:lang w:eastAsia="pl-PL"/>
              </w:rPr>
              <w:t>Uwaga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Pozycje 4 i 5 muszą pochodzić od jednego producenta.</w:t>
            </w:r>
          </w:p>
          <w:p w:rsidR="008B1F0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  <w:r w:rsidRPr="00917A3A">
              <w:rPr>
                <w:rFonts w:ascii="Calibri" w:hAnsi="Calibri" w:cs="Arial"/>
                <w:sz w:val="22"/>
                <w:szCs w:val="22"/>
              </w:rPr>
              <w:t>Pozycje 8 i 9 muszą pochodzić od jednego producenta.</w:t>
            </w:r>
          </w:p>
          <w:p w:rsidR="008B1F0A" w:rsidRPr="00206093" w:rsidRDefault="008B1F0A" w:rsidP="00871564">
            <w:pPr>
              <w:tabs>
                <w:tab w:val="num" w:pos="426"/>
              </w:tabs>
              <w:spacing w:after="120"/>
              <w:rPr>
                <w:rFonts w:ascii="Calibri" w:hAnsi="Calibri" w:cs="Times New Roman"/>
                <w:sz w:val="22"/>
                <w:szCs w:val="22"/>
                <w:lang w:eastAsia="ar-SA" w:bidi="ar-SA"/>
              </w:rPr>
            </w:pPr>
            <w:r w:rsidRPr="00206093">
              <w:rPr>
                <w:rFonts w:ascii="Calibri" w:hAnsi="Calibri" w:cs="Times New Roman"/>
                <w:sz w:val="22"/>
                <w:szCs w:val="22"/>
                <w:lang w:eastAsia="ar-SA" w:bidi="ar-SA"/>
              </w:rPr>
              <w:t>Wszystkie elementy  muszą być dostarczone oficjalnymi kanałami dystrybucji, zapewniającymi w szczególności realizację uprawnień gwarancyjnych.</w:t>
            </w:r>
          </w:p>
          <w:p w:rsidR="008B1F0A" w:rsidRPr="00917A3A" w:rsidRDefault="008B1F0A">
            <w:pPr>
              <w:pStyle w:val="Zawartotabeli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4" w:type="dxa"/>
            </w:tcMar>
          </w:tcPr>
          <w:p w:rsidR="008B1F0A" w:rsidRPr="00917A3A" w:rsidRDefault="008B1F0A" w:rsidP="009164D2">
            <w:pPr>
              <w:pStyle w:val="Zawartotabeli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B1F0A" w:rsidRPr="00917A3A" w:rsidRDefault="008B1F0A">
      <w:pPr>
        <w:rPr>
          <w:rFonts w:ascii="Calibri" w:hAnsi="Calibri" w:cs="Arial"/>
          <w:sz w:val="22"/>
          <w:szCs w:val="22"/>
        </w:rPr>
      </w:pPr>
    </w:p>
    <w:sectPr w:rsidR="008B1F0A" w:rsidRPr="00917A3A" w:rsidSect="00D81D89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2528"/>
    <w:multiLevelType w:val="multilevel"/>
    <w:tmpl w:val="7200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32C73918"/>
    <w:multiLevelType w:val="multilevel"/>
    <w:tmpl w:val="0A2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2">
    <w:nsid w:val="3C803D17"/>
    <w:multiLevelType w:val="multilevel"/>
    <w:tmpl w:val="ADEEF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481B0090"/>
    <w:multiLevelType w:val="multilevel"/>
    <w:tmpl w:val="6E58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4A4330CF"/>
    <w:multiLevelType w:val="multilevel"/>
    <w:tmpl w:val="5722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4A502573"/>
    <w:multiLevelType w:val="multilevel"/>
    <w:tmpl w:val="E87803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58672858"/>
    <w:multiLevelType w:val="hybridMultilevel"/>
    <w:tmpl w:val="11A68D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53848"/>
    <w:multiLevelType w:val="hybridMultilevel"/>
    <w:tmpl w:val="A99A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0243C"/>
    <w:multiLevelType w:val="hybridMultilevel"/>
    <w:tmpl w:val="73EA6E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6B66FB"/>
    <w:multiLevelType w:val="hybridMultilevel"/>
    <w:tmpl w:val="11A68D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DBA"/>
    <w:rsid w:val="00056D5C"/>
    <w:rsid w:val="000F5D31"/>
    <w:rsid w:val="00206093"/>
    <w:rsid w:val="00334845"/>
    <w:rsid w:val="00492021"/>
    <w:rsid w:val="00616CDB"/>
    <w:rsid w:val="006E4512"/>
    <w:rsid w:val="00795089"/>
    <w:rsid w:val="00871564"/>
    <w:rsid w:val="008B1F0A"/>
    <w:rsid w:val="009164D2"/>
    <w:rsid w:val="00917A3A"/>
    <w:rsid w:val="00995DBA"/>
    <w:rsid w:val="00A75460"/>
    <w:rsid w:val="00B7751E"/>
    <w:rsid w:val="00D8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D31"/>
    <w:pPr>
      <w:widowControl w:val="0"/>
      <w:suppressAutoHyphens/>
    </w:pPr>
    <w:rPr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iwypunktowania">
    <w:name w:val="Znaki wypunktowania"/>
    <w:uiPriority w:val="99"/>
    <w:rsid w:val="000F5D31"/>
    <w:rPr>
      <w:rFonts w:ascii="OpenSymbol" w:eastAsia="Times New Roman" w:hAnsi="OpenSymbol"/>
    </w:rPr>
  </w:style>
  <w:style w:type="character" w:customStyle="1" w:styleId="Znakinumeracji">
    <w:name w:val="Znaki numeracji"/>
    <w:uiPriority w:val="99"/>
    <w:rsid w:val="000F5D31"/>
  </w:style>
  <w:style w:type="character" w:customStyle="1" w:styleId="Character20style">
    <w:name w:val="Character_20_style"/>
    <w:uiPriority w:val="99"/>
    <w:rsid w:val="000F5D31"/>
  </w:style>
  <w:style w:type="paragraph" w:styleId="Header">
    <w:name w:val="header"/>
    <w:basedOn w:val="Normal"/>
    <w:next w:val="Tretekstu"/>
    <w:link w:val="HeaderChar"/>
    <w:uiPriority w:val="99"/>
    <w:rsid w:val="000F5D31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F31EE"/>
    <w:rPr>
      <w:rFonts w:cs="Mangal"/>
      <w:sz w:val="24"/>
      <w:szCs w:val="21"/>
      <w:lang w:eastAsia="zh-CN" w:bidi="hi-IN"/>
    </w:rPr>
  </w:style>
  <w:style w:type="paragraph" w:customStyle="1" w:styleId="Tretekstu">
    <w:name w:val="Treść tekstu"/>
    <w:basedOn w:val="Normal"/>
    <w:uiPriority w:val="99"/>
    <w:rsid w:val="000F5D31"/>
    <w:pPr>
      <w:spacing w:after="140" w:line="288" w:lineRule="auto"/>
    </w:pPr>
  </w:style>
  <w:style w:type="paragraph" w:styleId="List">
    <w:name w:val="List"/>
    <w:basedOn w:val="Tretekstu"/>
    <w:uiPriority w:val="99"/>
    <w:rsid w:val="000F5D31"/>
  </w:style>
  <w:style w:type="paragraph" w:styleId="Signature">
    <w:name w:val="Signature"/>
    <w:basedOn w:val="Normal"/>
    <w:link w:val="SignatureChar"/>
    <w:uiPriority w:val="99"/>
    <w:rsid w:val="000F5D31"/>
    <w:pPr>
      <w:suppressLineNumbers/>
      <w:spacing w:before="120" w:after="120"/>
    </w:pPr>
    <w:rPr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31EE"/>
    <w:rPr>
      <w:rFonts w:cs="Mangal"/>
      <w:sz w:val="24"/>
      <w:szCs w:val="21"/>
      <w:lang w:eastAsia="zh-CN" w:bidi="hi-IN"/>
    </w:rPr>
  </w:style>
  <w:style w:type="paragraph" w:customStyle="1" w:styleId="Indeks">
    <w:name w:val="Indeks"/>
    <w:basedOn w:val="Normal"/>
    <w:uiPriority w:val="99"/>
    <w:rsid w:val="000F5D31"/>
    <w:pPr>
      <w:suppressLineNumbers/>
    </w:pPr>
  </w:style>
  <w:style w:type="paragraph" w:customStyle="1" w:styleId="Zawartotabeli">
    <w:name w:val="Zawartość tabeli"/>
    <w:basedOn w:val="Normal"/>
    <w:uiPriority w:val="99"/>
    <w:rsid w:val="000F5D31"/>
    <w:pPr>
      <w:suppressLineNumbers/>
    </w:pPr>
  </w:style>
  <w:style w:type="paragraph" w:styleId="PlainText">
    <w:name w:val="Plain Text"/>
    <w:basedOn w:val="Normal"/>
    <w:link w:val="PlainTextChar"/>
    <w:uiPriority w:val="99"/>
    <w:semiHidden/>
    <w:rsid w:val="00492021"/>
    <w:pPr>
      <w:widowControl/>
      <w:suppressAutoHyphens w:val="0"/>
    </w:pPr>
    <w:rPr>
      <w:rFonts w:ascii="Calibri" w:hAnsi="Calibri" w:cs="Times New Roman"/>
      <w:sz w:val="22"/>
      <w:szCs w:val="21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92021"/>
    <w:rPr>
      <w:rFonts w:ascii="Calibri" w:eastAsia="Times New Roman" w:hAnsi="Calibri" w:cs="Times New Roman"/>
      <w:sz w:val="21"/>
      <w:szCs w:val="21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056D5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6D5C"/>
    <w:rPr>
      <w:rFonts w:ascii="Tahoma" w:hAnsi="Tahoma" w:cs="Mang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901</Words>
  <Characters>5412</Characters>
  <Application>Microsoft Office Outlook</Application>
  <DocSecurity>0</DocSecurity>
  <Lines>0</Lines>
  <Paragraphs>0</Paragraphs>
  <ScaleCrop>false</ScaleCrop>
  <Company>Narodowe Centrum Badań Jądrowych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Sobieraj</dc:creator>
  <cp:keywords/>
  <dc:description/>
  <cp:lastModifiedBy>Danuta Jastrzębska</cp:lastModifiedBy>
  <cp:revision>7</cp:revision>
  <cp:lastPrinted>2016-09-19T10:02:00Z</cp:lastPrinted>
  <dcterms:created xsi:type="dcterms:W3CDTF">2016-09-19T09:59:00Z</dcterms:created>
  <dcterms:modified xsi:type="dcterms:W3CDTF">2016-09-26T07:19:00Z</dcterms:modified>
</cp:coreProperties>
</file>