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AB" w:rsidRDefault="00D3359A">
      <w:pPr>
        <w:jc w:val="right"/>
        <w:outlineLvl w:val="0"/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>Załącznik  Nr 1 do SIWZ</w:t>
      </w:r>
    </w:p>
    <w:p w:rsidR="00E613AB" w:rsidRDefault="00D3359A">
      <w:pPr>
        <w:jc w:val="right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E613AB" w:rsidRDefault="00D3359A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Specyfikacja techniczno – ilościowa</w:t>
      </w:r>
    </w:p>
    <w:p w:rsidR="00E613AB" w:rsidRDefault="00E613AB">
      <w:pPr>
        <w:rPr>
          <w:rFonts w:ascii="Calibri" w:hAnsi="Calibri" w:cs="Arial"/>
          <w:sz w:val="22"/>
          <w:szCs w:val="22"/>
        </w:rPr>
      </w:pPr>
    </w:p>
    <w:tbl>
      <w:tblPr>
        <w:tblW w:w="9610" w:type="dxa"/>
        <w:tblInd w:w="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638"/>
        <w:gridCol w:w="5926"/>
        <w:gridCol w:w="566"/>
      </w:tblGrid>
      <w:tr w:rsidR="0010229D" w:rsidTr="004F2D29">
        <w:trPr>
          <w:tblHeader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0229D"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Typ urządzenia</w:t>
            </w:r>
          </w:p>
        </w:tc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Wymagania minimalne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3359A">
              <w:rPr>
                <w:rFonts w:ascii="Calibri" w:hAnsi="Calibri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Przełącznik sieciowy 48 portów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wykytekst"/>
            </w:pPr>
            <w:r>
              <w:rPr>
                <w:sz w:val="20"/>
                <w:szCs w:val="20"/>
              </w:rPr>
              <w:t>Przełączniki sieciowe 48 portowe ze wsparciem PoE-Plus (budżet mocy minimum</w:t>
            </w:r>
            <w:r w:rsidR="004F2D29">
              <w:rPr>
                <w:sz w:val="20"/>
                <w:szCs w:val="20"/>
              </w:rPr>
              <w:t xml:space="preserve"> 800W), posiadające minimum 4</w:t>
            </w:r>
            <w:r>
              <w:rPr>
                <w:sz w:val="20"/>
                <w:szCs w:val="20"/>
              </w:rPr>
              <w:t xml:space="preserve"> porty SFP+, działające z</w:t>
            </w:r>
            <w:r w:rsidR="004F2D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prędkością 10Gbit/s. Język skryptów i składnia plików konfiguracji (w</w:t>
            </w:r>
            <w:r w:rsidR="00CF3C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szczególności polisy ACL) ma</w:t>
            </w:r>
            <w:r w:rsidR="00CF3C57">
              <w:rPr>
                <w:sz w:val="20"/>
                <w:szCs w:val="20"/>
              </w:rPr>
              <w:t>ją</w:t>
            </w:r>
            <w:r>
              <w:rPr>
                <w:sz w:val="20"/>
                <w:szCs w:val="20"/>
              </w:rPr>
              <w:t xml:space="preserve"> być zgodn</w:t>
            </w:r>
            <w:r w:rsidR="00CF3C5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z przełącznikami Extreme używanymi w NCBJ</w:t>
            </w:r>
            <w:r w:rsidR="004F2D29">
              <w:rPr>
                <w:sz w:val="20"/>
                <w:szCs w:val="20"/>
              </w:rPr>
              <w:t xml:space="preserve"> </w:t>
            </w:r>
            <w:r w:rsidR="004F2D29" w:rsidRPr="00CF3C57">
              <w:rPr>
                <w:sz w:val="20"/>
                <w:szCs w:val="20"/>
              </w:rPr>
              <w:t>(</w:t>
            </w:r>
            <w:r w:rsidR="00CF3C57">
              <w:rPr>
                <w:sz w:val="20"/>
                <w:szCs w:val="20"/>
              </w:rPr>
              <w:t>X670,</w:t>
            </w:r>
            <w:r w:rsidR="004F2D29" w:rsidRPr="00CF3C57">
              <w:rPr>
                <w:sz w:val="20"/>
                <w:szCs w:val="20"/>
              </w:rPr>
              <w:t xml:space="preserve"> X440</w:t>
            </w:r>
            <w:r w:rsidR="00CF3C57">
              <w:rPr>
                <w:sz w:val="20"/>
                <w:szCs w:val="20"/>
              </w:rPr>
              <w:t xml:space="preserve"> i</w:t>
            </w:r>
            <w:r w:rsidR="004F2D29" w:rsidRPr="00CF3C57">
              <w:rPr>
                <w:sz w:val="20"/>
                <w:szCs w:val="20"/>
              </w:rPr>
              <w:t xml:space="preserve"> X440-G2)</w:t>
            </w:r>
            <w:r w:rsidRPr="00CF3C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Możliwość tworzenia stosów z urządz</w:t>
            </w:r>
            <w:r w:rsidR="00CF3C57">
              <w:rPr>
                <w:sz w:val="20"/>
                <w:szCs w:val="20"/>
              </w:rPr>
              <w:t>eniami Extreme używanymi w NCBJ (</w:t>
            </w:r>
            <w:r w:rsidR="00CF3C57" w:rsidRPr="00CF3C57">
              <w:rPr>
                <w:sz w:val="20"/>
                <w:szCs w:val="20"/>
              </w:rPr>
              <w:t>X440-G2).</w:t>
            </w:r>
          </w:p>
          <w:p w:rsidR="0010229D" w:rsidRDefault="0010229D">
            <w:pPr>
              <w:pStyle w:val="Zwyky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Wymagana gwarancja minimum 12 miesięcy.</w:t>
            </w:r>
          </w:p>
          <w:p w:rsidR="0010229D" w:rsidRDefault="0010229D">
            <w:pPr>
              <w:pStyle w:val="Zwyky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 w </w:t>
            </w:r>
            <w:r w:rsidR="00CF3C57">
              <w:rPr>
                <w:sz w:val="20"/>
                <w:szCs w:val="20"/>
              </w:rPr>
              <w:t xml:space="preserve"> pierwszym roku musi  obejmować</w:t>
            </w:r>
            <w:r>
              <w:rPr>
                <w:sz w:val="20"/>
                <w:szCs w:val="20"/>
              </w:rPr>
              <w:t xml:space="preserve">: wsparcie techniczne, aktualizację oprogramowania firmware, czas naprawy: Next Bussiness Day. </w:t>
            </w:r>
          </w:p>
          <w:p w:rsidR="0010229D" w:rsidRPr="00F03DF8" w:rsidRDefault="0010229D">
            <w:pPr>
              <w:pStyle w:val="Zwykytekst"/>
              <w:rPr>
                <w:sz w:val="20"/>
                <w:szCs w:val="20"/>
                <w:u w:val="single"/>
              </w:rPr>
            </w:pPr>
            <w:r w:rsidRPr="00F03DF8">
              <w:rPr>
                <w:sz w:val="20"/>
                <w:szCs w:val="20"/>
                <w:u w:val="single"/>
              </w:rPr>
              <w:t>Dodatkowo będzie punktowana gwaran</w:t>
            </w:r>
            <w:r w:rsidR="00CF3C57" w:rsidRPr="00F03DF8">
              <w:rPr>
                <w:sz w:val="20"/>
                <w:szCs w:val="20"/>
                <w:u w:val="single"/>
              </w:rPr>
              <w:t>cja na następne lata obejmująca</w:t>
            </w:r>
            <w:r w:rsidRPr="00F03DF8">
              <w:rPr>
                <w:sz w:val="20"/>
                <w:szCs w:val="20"/>
                <w:u w:val="single"/>
              </w:rPr>
              <w:t>: naprawę sprzętu i aktualiz</w:t>
            </w:r>
            <w:r w:rsidR="00CF3C57" w:rsidRPr="00F03DF8">
              <w:rPr>
                <w:sz w:val="20"/>
                <w:szCs w:val="20"/>
                <w:u w:val="single"/>
              </w:rPr>
              <w:t>ację oprogramowania firmware (</w:t>
            </w:r>
            <w:r w:rsidRPr="00F03DF8">
              <w:rPr>
                <w:sz w:val="20"/>
                <w:szCs w:val="20"/>
                <w:u w:val="single"/>
              </w:rPr>
              <w:t>Punktacj</w:t>
            </w:r>
            <w:r w:rsidR="00CF3C57" w:rsidRPr="00F03DF8">
              <w:rPr>
                <w:sz w:val="20"/>
                <w:szCs w:val="20"/>
                <w:u w:val="single"/>
              </w:rPr>
              <w:t>a określona w Rozdz. XVI pkt.2b).</w:t>
            </w:r>
          </w:p>
          <w:p w:rsidR="0010229D" w:rsidRDefault="0010229D">
            <w:pPr>
              <w:pStyle w:val="Zwykyteks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Kable połączeniowe SFP+ 1m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</w:pPr>
            <w:r>
              <w:rPr>
                <w:rFonts w:ascii="Calibri" w:hAnsi="Calibri" w:cs="Arial"/>
                <w:sz w:val="20"/>
                <w:szCs w:val="20"/>
              </w:rPr>
              <w:t>1. Kabel połączeniowy w standardzie SFP+</w:t>
            </w:r>
          </w:p>
          <w:p w:rsidR="0010229D" w:rsidRDefault="0010229D">
            <w:pPr>
              <w:pStyle w:val="Zawartotabeli"/>
            </w:pPr>
            <w:r>
              <w:rPr>
                <w:rFonts w:ascii="Calibri" w:hAnsi="Calibri" w:cs="Arial"/>
                <w:sz w:val="20"/>
                <w:szCs w:val="20"/>
              </w:rPr>
              <w:t xml:space="preserve">2. </w:t>
            </w:r>
            <w:r w:rsidR="008821FB">
              <w:rPr>
                <w:rFonts w:ascii="Calibri" w:hAnsi="Calibri" w:cs="Arial"/>
                <w:sz w:val="20"/>
                <w:szCs w:val="20"/>
              </w:rPr>
              <w:t xml:space="preserve">Działający </w:t>
            </w:r>
            <w:r>
              <w:rPr>
                <w:rFonts w:ascii="Calibri" w:hAnsi="Calibri" w:cs="Arial"/>
                <w:sz w:val="20"/>
                <w:szCs w:val="20"/>
              </w:rPr>
              <w:t>z prędkością 10 Gbit/</w:t>
            </w:r>
            <w:r w:rsidR="008821FB"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>
              <w:rPr>
                <w:rFonts w:ascii="Calibri" w:hAnsi="Calibri" w:cs="Arial"/>
                <w:sz w:val="20"/>
                <w:szCs w:val="20"/>
              </w:rPr>
              <w:t>FD (Full Duplex)</w:t>
            </w:r>
          </w:p>
          <w:p w:rsidR="0010229D" w:rsidRDefault="0010229D">
            <w:pPr>
              <w:pStyle w:val="Zawartotabeli"/>
            </w:pPr>
            <w:r>
              <w:rPr>
                <w:rFonts w:ascii="Calibri" w:hAnsi="Calibri" w:cs="Arial"/>
                <w:sz w:val="20"/>
                <w:szCs w:val="20"/>
              </w:rPr>
              <w:t>3. Zakończony wtykami SFP+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 Zgodny z dostarczanymi przełącznikami sieciowymi.</w:t>
            </w:r>
          </w:p>
          <w:p w:rsidR="00CF3C57" w:rsidRDefault="00CF3C57">
            <w:pPr>
              <w:pStyle w:val="Zawartotabeli"/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Kable połączeniowe SFP+ 3m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 Kabel połączeniowy w standardzie SFP+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2. </w:t>
            </w:r>
            <w:r w:rsidR="008821FB">
              <w:rPr>
                <w:rFonts w:ascii="Calibri" w:hAnsi="Calibri" w:cs="Arial"/>
                <w:sz w:val="20"/>
                <w:szCs w:val="20"/>
              </w:rPr>
              <w:t xml:space="preserve">Działający </w:t>
            </w:r>
            <w:r>
              <w:rPr>
                <w:rFonts w:ascii="Calibri" w:hAnsi="Calibri" w:cs="Arial"/>
                <w:sz w:val="20"/>
                <w:szCs w:val="20"/>
              </w:rPr>
              <w:t>z prędkością 10 Gbit/</w:t>
            </w:r>
            <w:r w:rsidR="008821FB"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>
              <w:rPr>
                <w:rFonts w:ascii="Calibri" w:hAnsi="Calibri" w:cs="Arial"/>
                <w:sz w:val="20"/>
                <w:szCs w:val="20"/>
              </w:rPr>
              <w:t>FD (Full Duplex)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 Zakończony wtykami SFP+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bookmarkStart w:id="1" w:name="__DdeLink__315_2309138173"/>
            <w:r>
              <w:rPr>
                <w:rFonts w:ascii="Calibri" w:hAnsi="Calibri" w:cs="Arial"/>
                <w:sz w:val="20"/>
                <w:szCs w:val="20"/>
              </w:rPr>
              <w:t>4. Zgodny z dostarczanymi przełącznikami sieciowymi.</w:t>
            </w:r>
            <w:bookmarkEnd w:id="1"/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Wkładki światłowodowe SFP+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 Wkładka w standardzie SFP+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 Działająca z prędkością 10 Gbit/</w:t>
            </w:r>
            <w:r w:rsidR="008821FB"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>
              <w:rPr>
                <w:rFonts w:ascii="Calibri" w:hAnsi="Calibri" w:cs="Arial"/>
                <w:sz w:val="20"/>
                <w:szCs w:val="20"/>
              </w:rPr>
              <w:t>FD (Full Duplex)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 Zakończona gniazdem LC-Duplex (Dual-LC)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 Zasięg 10</w:t>
            </w:r>
            <w:r w:rsidR="008821FB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m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 Obsługa DDM - Digital diagnostics monitoring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 Zgodna z zamawianymi</w:t>
            </w:r>
            <w:r w:rsidR="008821F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urządzeniami posiadającymi porty 10Gbit/s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Router sieciowy 8 portów 1Gb/s + 2 port 10 Gb/s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1. 8x Gigabit Ethernet (10/100/1000Mbps) RJ45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2. 2x Interfejs SFP+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 4GB pamięci RAM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 1x port USB/microUSB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 obsługa sieci VPN (Ipsec, PPTP, L2TP)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 możliwość tworzenia tuneli na warstwie L2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 możliwość działania jako koncentrator VPN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 obsługa sieci VLAN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 firewall sieciowy z śledzeniem połączeń (stateful firewall), dający możliwością definiowania polityk dostępu po adresach i portach protokołu IP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 obsługa protokołów dynamicznego routing-u (RIP, OSPF)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 obsługa  MPLS/VPLS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 obsługa mechanizmu translacji adresów NAT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 wsparcie dla IPv6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14. możliwość kontroli pasma sieciowego po adresach i portach protokołu IP 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15. wbudowane narzędzia Ping, Traceroute, Packet Sniffer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16. konfiguracja przy pomocy WWW, SSH v2, Telnet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17. ponadto obsługa standardów NTP Client, VRRP i SNMP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18. maksymalny pobór mocy 200W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19. obudowa 19” z możliwością zamontowania w szafie typu RACK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20. możliwość dostępu do portu konsoli urządzenia poprzez sieć TCP/IP, realizowana za pomocą dedykowanego portu lub  poprzez dostarczony razem z urządzeniem konwerter RS232-&gt;Ethernet</w:t>
            </w:r>
          </w:p>
          <w:p w:rsidR="0010229D" w:rsidRDefault="0010229D">
            <w:pPr>
              <w:pStyle w:val="Zawartotabeli"/>
            </w:pPr>
            <w:r>
              <w:rPr>
                <w:rFonts w:ascii="Calibri" w:hAnsi="Calibri" w:cs="Arial"/>
                <w:sz w:val="20"/>
                <w:szCs w:val="20"/>
              </w:rPr>
              <w:t>21. W przypadku użycia konwertera RS232-&gt;Ethernet, konwerter powinien:</w:t>
            </w:r>
          </w:p>
          <w:p w:rsidR="0010229D" w:rsidRDefault="0010229D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zostać dostarczony z kablem umożliwiającym podłączeniu routera</w:t>
            </w:r>
          </w:p>
          <w:p w:rsidR="0010229D" w:rsidRDefault="0010229D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być zarządzany poprzez dedykowane oprogramowanie</w:t>
            </w:r>
          </w:p>
          <w:p w:rsidR="0010229D" w:rsidRDefault="0010229D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umożliwiać zestawienie zdalnej sesji terminalowej</w:t>
            </w:r>
          </w:p>
          <w:p w:rsidR="008821FB" w:rsidRDefault="008821FB" w:rsidP="008821FB">
            <w:pPr>
              <w:pStyle w:val="Zawartotabeli"/>
              <w:ind w:left="72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lastRenderedPageBreak/>
              <w:t>4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Router sieciowy do podsieci zarządzającej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1. 10x Fast Ethernet (10/100Mbps) RJ45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2. 1x SFP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 128MB pamięci RAM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 1x port USB/microUSB z możliwością podpięcia modemu GSM i programowalnego sterowania zasilaniem na porcie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 obsługa sieci VPN (Ipsec, PPTP, L2TP)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 możliwość tworzenia tuneli na warstwie L2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7. obsługa sieci VLAN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 firewall sieciowy z śledzeniem połączeń (stateful firewall), dający możliwością definiowania polityk dostępu po adresach i portach protokołu IP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 obsługa mechanizmu translacji adresów NAT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 wsparcie dla IPv6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 możliwość kontroli pasma sieciowego po adresach i portach protokołu IP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 wbudowane narzędzia Ping, Traceroute, Packet Sniffer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 konfiguracja przy pomocy WWW, SSH v2, Telnet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 ponadto obsługa standardów NTP Client i SNMP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15. maksymalny pobór mocy 50W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16. obudowa 19” z możliwością zamontowania w szafie typu RACK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Wkładki światłowodowe do routera podsieci zarządzającej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 Wkładka w standardzie SFP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 Działająca z prędkością 1Gbit/</w:t>
            </w:r>
            <w:r w:rsidR="008821FB"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>
              <w:rPr>
                <w:rFonts w:ascii="Calibri" w:hAnsi="Calibri" w:cs="Arial"/>
                <w:sz w:val="20"/>
                <w:szCs w:val="20"/>
              </w:rPr>
              <w:t>FD (Full Duplex)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 Zakończona gniazdem LC-Duplex (Dual-LC)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 Zasięg 10</w:t>
            </w:r>
            <w:r w:rsidR="008821FB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m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 Obsługa DDM - Digital diagnostics monitoring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6. Zgodna z dostarczanym urządzeniem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Zestaw do pomiaru parametrów środowiskowych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</w:pPr>
            <w:r>
              <w:rPr>
                <w:rFonts w:ascii="Calibri" w:hAnsi="Calibri" w:cs="Arial"/>
                <w:sz w:val="20"/>
                <w:szCs w:val="20"/>
              </w:rPr>
              <w:t>Zestaw kontrolujący parametry środowiska musi umożliwić podłączenie do istniejącego kontrolera</w:t>
            </w:r>
            <w:r w:rsidR="00D3359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3359A" w:rsidRPr="00D3359A">
              <w:rPr>
                <w:rFonts w:ascii="Calibri" w:hAnsi="Calibri" w:cs="Arial"/>
                <w:sz w:val="20"/>
                <w:szCs w:val="20"/>
              </w:rPr>
              <w:t>mFi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 zapewnić: pomiar prądu pobieranego przez </w:t>
            </w:r>
            <w:r w:rsidR="00582F7E">
              <w:rPr>
                <w:rFonts w:ascii="Calibri" w:hAnsi="Calibri" w:cs="Arial"/>
                <w:sz w:val="20"/>
                <w:szCs w:val="20"/>
              </w:rPr>
              <w:t>Lokalny Punkt Dystrybucyjny sieci komputerowej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(bezinwazyjnie, złączem klamrowym, na 3 fazach), pomiar temperatury i dodatkowo posiadać czujnik kontaktronowy otwarcia drzwi.</w:t>
            </w:r>
          </w:p>
          <w:p w:rsidR="0010229D" w:rsidRDefault="0010229D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Parametry podstawowe zestawu pomiarowego</w:t>
            </w:r>
          </w:p>
          <w:p w:rsidR="0010229D" w:rsidRDefault="0010229D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Interfejs Ethernet 10/100Mbit/s</w:t>
            </w:r>
          </w:p>
          <w:p w:rsidR="0010229D" w:rsidRDefault="0010229D">
            <w:pPr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Możliwość zarządzania i odczytu parametrów poprzez dedykowane oprogramowanie</w:t>
            </w:r>
          </w:p>
          <w:p w:rsidR="0010229D" w:rsidRDefault="0010229D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Pomiar prądu</w:t>
            </w:r>
          </w:p>
          <w:p w:rsidR="0010229D" w:rsidRDefault="0010229D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>Zakres pomiarowy 0-100A</w:t>
            </w:r>
          </w:p>
          <w:p w:rsidR="0010229D" w:rsidRDefault="0010229D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>Urządzenie mierzące zakładane na mierzony przewód (bezinwazyjnie, złącze klamrowe)</w:t>
            </w:r>
          </w:p>
          <w:p w:rsidR="0010229D" w:rsidRDefault="0010229D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Pomiar temperatury</w:t>
            </w:r>
          </w:p>
          <w:p w:rsidR="0010229D" w:rsidRDefault="0010229D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>Składający się z pojedynczego czujnika temperatury</w:t>
            </w:r>
          </w:p>
          <w:p w:rsidR="0010229D" w:rsidRDefault="0010229D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>Zakres pomiarowy -10 do 50 stopni Celsjusza</w:t>
            </w:r>
          </w:p>
          <w:p w:rsidR="0010229D" w:rsidRDefault="0010229D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lastRenderedPageBreak/>
              <w:t>Dokładność +/- 0,5 stopnia Celsjusza przy temperaturze otoczenia 25 stopni Celsjusza</w:t>
            </w:r>
          </w:p>
          <w:p w:rsidR="0010229D" w:rsidRDefault="0010229D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Czujnik otwarci</w:t>
            </w:r>
            <w:r w:rsidR="004F2D29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drzwi szafy</w:t>
            </w:r>
          </w:p>
          <w:p w:rsidR="0010229D" w:rsidRDefault="0010229D">
            <w:pPr>
              <w:numPr>
                <w:ilvl w:val="0"/>
                <w:numId w:val="5"/>
              </w:numP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  <w:t>Składający się z dwóch elementów magnesu i elementu pomiarowego</w:t>
            </w:r>
          </w:p>
          <w:p w:rsidR="0010229D" w:rsidRDefault="0010229D">
            <w:pPr>
              <w:ind w:left="720"/>
              <w:rPr>
                <w:rFonts w:ascii="Calibri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lastRenderedPageBreak/>
              <w:t>3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UPS 2 kVA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moc wyjściowa   1800W/ 2000VA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obudowa typu rack 19"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częstotliwość na wyjściu (synchronicznie z siecią) 50/60 Hz </w:t>
            </w:r>
            <w:r>
              <w:rPr>
                <w:rFonts w:cs="Arial"/>
                <w:sz w:val="20"/>
                <w:szCs w:val="20"/>
              </w:rPr>
              <w:br/>
              <w:t>+/- 0,2 %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topologia on-line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przebiegu czysta sinusoida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gniazda wyjściowe 8 x C13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ochrona przed (przepięciami, przeciążeniami)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pasujący do szafy o głębokości 600mm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panel przedni wyposażony w wyświetlacz LCD pokazujący: tryb AC, poziom naładowania, stan baterii, napięcie wejściowe, napięcie wyjściowe, przeciążenie, błąd i niski stan baterii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demontażu baterii po zdjęciu przedniego panelu, bez potrzeby wykręcania urządzenia z szafy rack</w:t>
            </w:r>
          </w:p>
          <w:p w:rsidR="0010229D" w:rsidRPr="00F03DF8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 w:rsidRPr="00F03DF8">
              <w:rPr>
                <w:rFonts w:cs="Arial"/>
                <w:sz w:val="20"/>
                <w:szCs w:val="20"/>
              </w:rPr>
              <w:t>okres gwarancji 2 lata</w:t>
            </w:r>
          </w:p>
          <w:p w:rsidR="0010229D" w:rsidRDefault="0010229D">
            <w:pPr>
              <w:pStyle w:val="Zwykytekst"/>
              <w:numPr>
                <w:ilvl w:val="0"/>
                <w:numId w:val="7"/>
              </w:numPr>
              <w:ind w:left="37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urządzenie UPS muszą pochodzić od jednego producenta</w:t>
            </w:r>
          </w:p>
          <w:p w:rsidR="0010229D" w:rsidRDefault="0010229D">
            <w:pPr>
              <w:pStyle w:val="Zwykytekst"/>
              <w:ind w:left="376"/>
              <w:rPr>
                <w:rFonts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10229D" w:rsidTr="0010229D">
        <w:tc>
          <w:tcPr>
            <w:tcW w:w="4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0229D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263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  <w:rPr>
                <w:rFonts w:ascii="Calibri" w:hAnsi="Calibri" w:cs="Arial"/>
                <w:color w:val="000000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Punkt dostępowy sieci bezprzewodowej 2,4GHz i 5GHz, 802.11 a/b/g/n/ac, POE</w:t>
            </w:r>
          </w:p>
        </w:tc>
        <w:tc>
          <w:tcPr>
            <w:tcW w:w="59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Punkty dostępowe dwuzakresowe 2,4GHz i 5GHz z możliwością podłączenia do działającego w NCBJ kontrolera WiFi uruchomionego na oprogramowaniu UniFi Controller v5. Obsługa standardu 802.11ac i PoE. Maksymalne szybkości transmisji danych: dla 2.4 Ghz - 800 Mb/s; dla 5 GHz - 1700 Mb/s.</w:t>
            </w:r>
          </w:p>
          <w:p w:rsidR="0010229D" w:rsidRDefault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  <w:r w:rsidRPr="00D3359A">
              <w:rPr>
                <w:rFonts w:ascii="Calibri" w:hAnsi="Calibri" w:cs="Arial"/>
                <w:sz w:val="22"/>
                <w:szCs w:val="22"/>
              </w:rPr>
              <w:t>16</w:t>
            </w:r>
          </w:p>
          <w:p w:rsidR="0010229D" w:rsidRPr="00D3359A" w:rsidRDefault="0010229D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10229D" w:rsidRPr="00D3359A" w:rsidRDefault="0010229D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0229D" w:rsidTr="0010229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9D" w:rsidRPr="0010229D" w:rsidRDefault="0010229D" w:rsidP="000E6C5F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9D" w:rsidRDefault="0010229D">
            <w:pPr>
              <w:spacing w:line="100" w:lineRule="atLeast"/>
              <w:rPr>
                <w:rFonts w:ascii="Calibri" w:hAnsi="Calibri" w:cs="Arial"/>
                <w:b/>
                <w:color w:val="000000"/>
                <w:lang w:eastAsia="pl-PL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Uwaga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9D" w:rsidRPr="0020788D" w:rsidRDefault="0010229D" w:rsidP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 w:rsidRPr="0020788D">
              <w:rPr>
                <w:rFonts w:ascii="Calibri" w:hAnsi="Calibri" w:cs="Arial"/>
                <w:sz w:val="20"/>
                <w:szCs w:val="20"/>
              </w:rPr>
              <w:t xml:space="preserve">Pozycje </w:t>
            </w:r>
            <w:r>
              <w:rPr>
                <w:rFonts w:ascii="Calibri" w:hAnsi="Calibri" w:cs="Arial"/>
                <w:sz w:val="20"/>
                <w:szCs w:val="20"/>
              </w:rPr>
              <w:t>5 i 6</w:t>
            </w:r>
            <w:r w:rsidRPr="0020788D">
              <w:rPr>
                <w:rFonts w:ascii="Calibri" w:hAnsi="Calibri" w:cs="Arial"/>
                <w:sz w:val="20"/>
                <w:szCs w:val="20"/>
              </w:rPr>
              <w:t xml:space="preserve"> muszą pochodzić od jednego producenta.</w:t>
            </w:r>
          </w:p>
          <w:p w:rsidR="0010229D" w:rsidRPr="0020788D" w:rsidRDefault="0010229D" w:rsidP="0010229D">
            <w:pPr>
              <w:tabs>
                <w:tab w:val="num" w:pos="426"/>
              </w:tabs>
              <w:spacing w:after="120"/>
              <w:rPr>
                <w:rFonts w:ascii="Calibri" w:hAnsi="Calibri" w:cs="Times New Roman"/>
                <w:sz w:val="20"/>
                <w:szCs w:val="20"/>
                <w:lang w:eastAsia="ar-SA" w:bidi="ar-SA"/>
              </w:rPr>
            </w:pPr>
            <w:r w:rsidRPr="0020788D">
              <w:rPr>
                <w:rFonts w:ascii="Calibri" w:hAnsi="Calibri" w:cs="Times New Roman"/>
                <w:sz w:val="20"/>
                <w:szCs w:val="20"/>
                <w:lang w:eastAsia="ar-SA" w:bidi="ar-SA"/>
              </w:rPr>
              <w:t>Wszystkie elementy  muszą być dostarczone oficjalnymi kanałami dystrybucji, zapewniającymi w szczególności realizację uprawnień gwarancyjnych.</w:t>
            </w:r>
          </w:p>
          <w:p w:rsidR="0010229D" w:rsidRDefault="0010229D" w:rsidP="0010229D">
            <w:pPr>
              <w:pStyle w:val="Zawartotabeli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eżeli nie podano inaczej wymagany jest okres gwarancji minimum 12 miesięcy.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9D" w:rsidRPr="00D3359A" w:rsidRDefault="0010229D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613AB" w:rsidRDefault="00E613AB"/>
    <w:sectPr w:rsidR="00E613AB">
      <w:pgSz w:w="11906" w:h="16838"/>
      <w:pgMar w:top="1134" w:right="1134" w:bottom="1134" w:left="1134" w:header="0" w:footer="0" w:gutter="0"/>
      <w:cols w:space="708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30F"/>
    <w:multiLevelType w:val="multilevel"/>
    <w:tmpl w:val="B832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6637ED5"/>
    <w:multiLevelType w:val="multilevel"/>
    <w:tmpl w:val="ECD65D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B13F48"/>
    <w:multiLevelType w:val="multilevel"/>
    <w:tmpl w:val="DBAA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4427D98"/>
    <w:multiLevelType w:val="multilevel"/>
    <w:tmpl w:val="2DD81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8226505"/>
    <w:multiLevelType w:val="multilevel"/>
    <w:tmpl w:val="950C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698326B5"/>
    <w:multiLevelType w:val="multilevel"/>
    <w:tmpl w:val="2CEA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768632A3"/>
    <w:multiLevelType w:val="multilevel"/>
    <w:tmpl w:val="C1D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6CD75C2"/>
    <w:multiLevelType w:val="multilevel"/>
    <w:tmpl w:val="CF86F8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AB"/>
    <w:rsid w:val="0010229D"/>
    <w:rsid w:val="004D554A"/>
    <w:rsid w:val="004F2D29"/>
    <w:rsid w:val="00582F7E"/>
    <w:rsid w:val="008209AF"/>
    <w:rsid w:val="008821FB"/>
    <w:rsid w:val="008C0F26"/>
    <w:rsid w:val="00CF3C57"/>
    <w:rsid w:val="00D3359A"/>
    <w:rsid w:val="00DF27E8"/>
    <w:rsid w:val="00E50B8F"/>
    <w:rsid w:val="00E611FF"/>
    <w:rsid w:val="00E613AB"/>
    <w:rsid w:val="00EB038A"/>
    <w:rsid w:val="00F03DF8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D31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uiPriority w:val="99"/>
    <w:qFormat/>
    <w:rsid w:val="000F5D31"/>
    <w:rPr>
      <w:rFonts w:ascii="OpenSymbol" w:eastAsia="Times New Roman" w:hAnsi="OpenSymbol"/>
    </w:rPr>
  </w:style>
  <w:style w:type="character" w:customStyle="1" w:styleId="Znakinumeracji">
    <w:name w:val="Znaki numeracji"/>
    <w:uiPriority w:val="99"/>
    <w:qFormat/>
    <w:rsid w:val="000F5D31"/>
  </w:style>
  <w:style w:type="character" w:customStyle="1" w:styleId="Character20style">
    <w:name w:val="Character_20_style"/>
    <w:uiPriority w:val="99"/>
    <w:qFormat/>
    <w:rsid w:val="000F5D31"/>
  </w:style>
  <w:style w:type="character" w:customStyle="1" w:styleId="NagwekZnak">
    <w:name w:val="Nagłówek Znak"/>
    <w:link w:val="Nagwek"/>
    <w:uiPriority w:val="99"/>
    <w:semiHidden/>
    <w:qFormat/>
    <w:rsid w:val="003F31EE"/>
    <w:rPr>
      <w:rFonts w:cs="Mangal"/>
      <w:sz w:val="24"/>
      <w:szCs w:val="21"/>
      <w:lang w:eastAsia="zh-CN" w:bidi="hi-IN"/>
    </w:rPr>
  </w:style>
  <w:style w:type="character" w:customStyle="1" w:styleId="LegendaZnak">
    <w:name w:val="Legenda Znak"/>
    <w:link w:val="Legenda"/>
    <w:uiPriority w:val="99"/>
    <w:semiHidden/>
    <w:qFormat/>
    <w:rsid w:val="003F31EE"/>
    <w:rPr>
      <w:rFonts w:cs="Mangal"/>
      <w:sz w:val="24"/>
      <w:szCs w:val="21"/>
      <w:lang w:eastAsia="zh-CN" w:bidi="hi-IN"/>
    </w:rPr>
  </w:style>
  <w:style w:type="character" w:customStyle="1" w:styleId="ZwykytekstZnak">
    <w:name w:val="Zwykły tekst Znak"/>
    <w:link w:val="Zwykytekst"/>
    <w:uiPriority w:val="99"/>
    <w:semiHidden/>
    <w:qFormat/>
    <w:locked/>
    <w:rsid w:val="00492021"/>
    <w:rPr>
      <w:rFonts w:ascii="Calibri" w:eastAsia="Times New Roman" w:hAnsi="Calibri" w:cs="Times New Roman"/>
      <w:sz w:val="21"/>
      <w:szCs w:val="21"/>
      <w:lang w:eastAsia="en-US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56D5C"/>
    <w:rPr>
      <w:rFonts w:ascii="Tahoma" w:hAnsi="Tahoma" w:cs="Mangal"/>
      <w:sz w:val="14"/>
      <w:szCs w:val="14"/>
    </w:rPr>
  </w:style>
  <w:style w:type="character" w:customStyle="1" w:styleId="ListLabel1">
    <w:name w:val="ListLabel 1"/>
    <w:qFormat/>
    <w:rPr>
      <w:rFonts w:ascii="Calibri" w:hAnsi="Calibri"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hAnsi="Calibri" w:cs="Times New Roman"/>
      <w:sz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Calibri" w:hAnsi="Calibri" w:cs="Times New Roman"/>
      <w:sz w:val="2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paragraph" w:styleId="Nagwek">
    <w:name w:val="header"/>
    <w:basedOn w:val="Normalny"/>
    <w:next w:val="Tekstpodstawowy1"/>
    <w:link w:val="NagwekZnak"/>
    <w:uiPriority w:val="99"/>
    <w:rsid w:val="000F5D3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0F5D31"/>
    <w:pPr>
      <w:spacing w:after="140" w:line="288" w:lineRule="auto"/>
    </w:pPr>
  </w:style>
  <w:style w:type="paragraph" w:styleId="Lista">
    <w:name w:val="List"/>
    <w:basedOn w:val="Tekstpodstawowy1"/>
    <w:uiPriority w:val="99"/>
    <w:rsid w:val="000F5D31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0F5D31"/>
    <w:pPr>
      <w:suppressLineNumbers/>
    </w:pPr>
  </w:style>
  <w:style w:type="paragraph" w:styleId="Podpis">
    <w:name w:val="Signature"/>
    <w:basedOn w:val="Normalny"/>
    <w:uiPriority w:val="99"/>
    <w:rsid w:val="000F5D31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uiPriority w:val="99"/>
    <w:qFormat/>
    <w:rsid w:val="000F5D31"/>
    <w:pPr>
      <w:suppressLineNumbers/>
    </w:pPr>
  </w:style>
  <w:style w:type="paragraph" w:styleId="Zwykytekst">
    <w:name w:val="Plain Text"/>
    <w:basedOn w:val="Normalny"/>
    <w:link w:val="ZwykytekstZnak"/>
    <w:uiPriority w:val="99"/>
    <w:semiHidden/>
    <w:qFormat/>
    <w:rsid w:val="00492021"/>
    <w:pPr>
      <w:widowControl/>
      <w:suppressAutoHyphens w:val="0"/>
    </w:pPr>
    <w:rPr>
      <w:rFonts w:ascii="Calibri" w:hAnsi="Calibri" w:cs="Times New Roman"/>
      <w:sz w:val="22"/>
      <w:szCs w:val="21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56D5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D31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uiPriority w:val="99"/>
    <w:qFormat/>
    <w:rsid w:val="000F5D31"/>
    <w:rPr>
      <w:rFonts w:ascii="OpenSymbol" w:eastAsia="Times New Roman" w:hAnsi="OpenSymbol"/>
    </w:rPr>
  </w:style>
  <w:style w:type="character" w:customStyle="1" w:styleId="Znakinumeracji">
    <w:name w:val="Znaki numeracji"/>
    <w:uiPriority w:val="99"/>
    <w:qFormat/>
    <w:rsid w:val="000F5D31"/>
  </w:style>
  <w:style w:type="character" w:customStyle="1" w:styleId="Character20style">
    <w:name w:val="Character_20_style"/>
    <w:uiPriority w:val="99"/>
    <w:qFormat/>
    <w:rsid w:val="000F5D31"/>
  </w:style>
  <w:style w:type="character" w:customStyle="1" w:styleId="NagwekZnak">
    <w:name w:val="Nagłówek Znak"/>
    <w:link w:val="Nagwek"/>
    <w:uiPriority w:val="99"/>
    <w:semiHidden/>
    <w:qFormat/>
    <w:rsid w:val="003F31EE"/>
    <w:rPr>
      <w:rFonts w:cs="Mangal"/>
      <w:sz w:val="24"/>
      <w:szCs w:val="21"/>
      <w:lang w:eastAsia="zh-CN" w:bidi="hi-IN"/>
    </w:rPr>
  </w:style>
  <w:style w:type="character" w:customStyle="1" w:styleId="LegendaZnak">
    <w:name w:val="Legenda Znak"/>
    <w:link w:val="Legenda"/>
    <w:uiPriority w:val="99"/>
    <w:semiHidden/>
    <w:qFormat/>
    <w:rsid w:val="003F31EE"/>
    <w:rPr>
      <w:rFonts w:cs="Mangal"/>
      <w:sz w:val="24"/>
      <w:szCs w:val="21"/>
      <w:lang w:eastAsia="zh-CN" w:bidi="hi-IN"/>
    </w:rPr>
  </w:style>
  <w:style w:type="character" w:customStyle="1" w:styleId="ZwykytekstZnak">
    <w:name w:val="Zwykły tekst Znak"/>
    <w:link w:val="Zwykytekst"/>
    <w:uiPriority w:val="99"/>
    <w:semiHidden/>
    <w:qFormat/>
    <w:locked/>
    <w:rsid w:val="00492021"/>
    <w:rPr>
      <w:rFonts w:ascii="Calibri" w:eastAsia="Times New Roman" w:hAnsi="Calibri" w:cs="Times New Roman"/>
      <w:sz w:val="21"/>
      <w:szCs w:val="21"/>
      <w:lang w:eastAsia="en-US" w:bidi="ar-SA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56D5C"/>
    <w:rPr>
      <w:rFonts w:ascii="Tahoma" w:hAnsi="Tahoma" w:cs="Mangal"/>
      <w:sz w:val="14"/>
      <w:szCs w:val="14"/>
    </w:rPr>
  </w:style>
  <w:style w:type="character" w:customStyle="1" w:styleId="ListLabel1">
    <w:name w:val="ListLabel 1"/>
    <w:qFormat/>
    <w:rPr>
      <w:rFonts w:ascii="Calibri" w:hAnsi="Calibri" w:cs="Times New Roman"/>
      <w:sz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hAnsi="Calibri" w:cs="Times New Roman"/>
      <w:sz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Calibri" w:hAnsi="Calibri" w:cs="Times New Roman"/>
      <w:sz w:val="2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Calibri" w:hAnsi="Calibri" w:cs="Times New Roman"/>
      <w:sz w:val="2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paragraph" w:styleId="Nagwek">
    <w:name w:val="header"/>
    <w:basedOn w:val="Normalny"/>
    <w:next w:val="Tekstpodstawowy1"/>
    <w:link w:val="NagwekZnak"/>
    <w:uiPriority w:val="99"/>
    <w:rsid w:val="000F5D3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0F5D31"/>
    <w:pPr>
      <w:spacing w:after="140" w:line="288" w:lineRule="auto"/>
    </w:pPr>
  </w:style>
  <w:style w:type="paragraph" w:styleId="Lista">
    <w:name w:val="List"/>
    <w:basedOn w:val="Tekstpodstawowy1"/>
    <w:uiPriority w:val="99"/>
    <w:rsid w:val="000F5D31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rsid w:val="000F5D31"/>
    <w:pPr>
      <w:suppressLineNumbers/>
    </w:pPr>
  </w:style>
  <w:style w:type="paragraph" w:styleId="Podpis">
    <w:name w:val="Signature"/>
    <w:basedOn w:val="Normalny"/>
    <w:uiPriority w:val="99"/>
    <w:rsid w:val="000F5D31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uiPriority w:val="99"/>
    <w:qFormat/>
    <w:rsid w:val="000F5D31"/>
    <w:pPr>
      <w:suppressLineNumbers/>
    </w:pPr>
  </w:style>
  <w:style w:type="paragraph" w:styleId="Zwykytekst">
    <w:name w:val="Plain Text"/>
    <w:basedOn w:val="Normalny"/>
    <w:link w:val="ZwykytekstZnak"/>
    <w:uiPriority w:val="99"/>
    <w:semiHidden/>
    <w:qFormat/>
    <w:rsid w:val="00492021"/>
    <w:pPr>
      <w:widowControl/>
      <w:suppressAutoHyphens w:val="0"/>
    </w:pPr>
    <w:rPr>
      <w:rFonts w:ascii="Calibri" w:hAnsi="Calibri" w:cs="Times New Roman"/>
      <w:sz w:val="22"/>
      <w:szCs w:val="21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56D5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Sobieraj</dc:creator>
  <cp:lastModifiedBy>Długaszek Anna</cp:lastModifiedBy>
  <cp:revision>2</cp:revision>
  <cp:lastPrinted>2017-10-23T09:56:00Z</cp:lastPrinted>
  <dcterms:created xsi:type="dcterms:W3CDTF">2018-11-08T13:04:00Z</dcterms:created>
  <dcterms:modified xsi:type="dcterms:W3CDTF">2018-11-08T13:04:00Z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Narodowe Centrum Badań Jądrowych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