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7563"/>
      </w:tblGrid>
      <w:tr w:rsidR="00455829" w:rsidRPr="00F844D6" w:rsidTr="00486CDC">
        <w:trPr>
          <w:trHeight w:val="708"/>
        </w:trPr>
        <w:tc>
          <w:tcPr>
            <w:tcW w:w="827" w:type="pct"/>
            <w:shd w:val="clear" w:color="000000" w:fill="B7DEE8"/>
            <w:noWrap/>
            <w:vAlign w:val="center"/>
            <w:hideMark/>
          </w:tcPr>
          <w:p w:rsidR="00484756" w:rsidRPr="00F844D6" w:rsidRDefault="00484756" w:rsidP="00687CA7">
            <w:pPr>
              <w:spacing w:after="0" w:line="240" w:lineRule="auto"/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 w:rsidRPr="00F844D6">
              <w:rPr>
                <w:rFonts w:eastAsia="Times New Roman" w:cs="Tahoma"/>
                <w:bCs/>
                <w:szCs w:val="20"/>
                <w:lang w:eastAsia="pl-PL"/>
              </w:rPr>
              <w:t>Zapis</w:t>
            </w:r>
          </w:p>
        </w:tc>
        <w:tc>
          <w:tcPr>
            <w:tcW w:w="4173" w:type="pct"/>
            <w:shd w:val="clear" w:color="000000" w:fill="B7DEE8"/>
            <w:noWrap/>
            <w:vAlign w:val="center"/>
            <w:hideMark/>
          </w:tcPr>
          <w:p w:rsidR="00484756" w:rsidRPr="00F844D6" w:rsidRDefault="00484756" w:rsidP="009773BE">
            <w:pPr>
              <w:spacing w:after="0" w:line="240" w:lineRule="auto"/>
              <w:jc w:val="center"/>
              <w:rPr>
                <w:rFonts w:eastAsia="Times New Roman" w:cs="Tahoma"/>
                <w:bCs/>
                <w:szCs w:val="20"/>
                <w:lang w:eastAsia="pl-PL"/>
              </w:rPr>
            </w:pPr>
            <w:r w:rsidRPr="00F844D6">
              <w:rPr>
                <w:rFonts w:eastAsia="Times New Roman" w:cs="Tahoma"/>
                <w:bCs/>
                <w:szCs w:val="20"/>
                <w:lang w:eastAsia="pl-PL"/>
              </w:rPr>
              <w:t>Pytanie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70708" w:rsidRPr="00F844D6" w:rsidRDefault="00F844D6" w:rsidP="00D71789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70708" w:rsidRPr="00F844D6" w:rsidRDefault="00770708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Czy media będą dodatkowo płatne (refakturowane na wykonawcę) czy zostały już uwzględnione we wskazanym czynszu</w:t>
            </w:r>
            <w:r w:rsidR="006A73D7" w:rsidRPr="00F844D6">
              <w:rPr>
                <w:rFonts w:cs="Calibri"/>
                <w:szCs w:val="20"/>
              </w:rPr>
              <w:t xml:space="preserve"> Zamawiającego</w:t>
            </w:r>
            <w:r w:rsidRPr="00F844D6">
              <w:rPr>
                <w:rFonts w:cs="Calibri"/>
                <w:szCs w:val="20"/>
              </w:rPr>
              <w:t>?</w:t>
            </w:r>
          </w:p>
          <w:p w:rsidR="00770708" w:rsidRDefault="00770708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Jeżeli dodatkowo płatne prosimy o informację o historycznych średnich miesięcznych kosztach mediów dla wskazanej powierzchni placówki przyzakładowej (energia el., woda, CO, wywóz śmieci i nieczystości)</w:t>
            </w:r>
          </w:p>
          <w:p w:rsidR="00473DF5" w:rsidRPr="00F844D6" w:rsidRDefault="00BA69D8" w:rsidP="008D239F">
            <w:pPr>
              <w:rPr>
                <w:rFonts w:cs="Calibri"/>
                <w:szCs w:val="20"/>
              </w:rPr>
            </w:pPr>
            <w:r>
              <w:rPr>
                <w:rFonts w:cs="Calibri"/>
                <w:color w:val="1F497D" w:themeColor="text2"/>
                <w:szCs w:val="20"/>
              </w:rPr>
              <w:t>Media są uwzględnione</w:t>
            </w:r>
            <w:r w:rsidR="00EC68CD">
              <w:rPr>
                <w:rFonts w:cs="Calibri"/>
                <w:color w:val="1F497D" w:themeColor="text2"/>
                <w:szCs w:val="20"/>
              </w:rPr>
              <w:t xml:space="preserve"> ryczałtowo</w:t>
            </w:r>
            <w:r>
              <w:rPr>
                <w:rFonts w:cs="Calibri"/>
                <w:color w:val="1F497D" w:themeColor="text2"/>
                <w:szCs w:val="20"/>
              </w:rPr>
              <w:t xml:space="preserve"> w czynszu – z wyjątkiem wywozu odpadów medycznych, które pozostają </w:t>
            </w:r>
            <w:r w:rsidR="008D239F">
              <w:rPr>
                <w:rFonts w:cs="Calibri"/>
                <w:color w:val="1F497D" w:themeColor="text2"/>
                <w:szCs w:val="20"/>
              </w:rPr>
              <w:t>po stronie</w:t>
            </w:r>
            <w:r>
              <w:rPr>
                <w:rFonts w:cs="Calibri"/>
                <w:color w:val="1F497D" w:themeColor="text2"/>
                <w:szCs w:val="20"/>
              </w:rPr>
              <w:t xml:space="preserve"> Oferenta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6A73D7" w:rsidRPr="00F844D6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 xml:space="preserve">Prosimy o informację </w:t>
            </w:r>
            <w:r w:rsidR="006A73D7" w:rsidRPr="00F844D6">
              <w:rPr>
                <w:rFonts w:cs="Calibri"/>
                <w:szCs w:val="20"/>
              </w:rPr>
              <w:t xml:space="preserve">czy Zamawiający uwzględnia w czynszu koszty robocizny dot. sprzątania </w:t>
            </w:r>
            <w:r w:rsidR="008E7EF7" w:rsidRPr="00F844D6">
              <w:rPr>
                <w:rFonts w:cs="Calibri"/>
                <w:szCs w:val="20"/>
              </w:rPr>
              <w:t xml:space="preserve">placówki </w:t>
            </w:r>
            <w:r w:rsidR="006A73D7" w:rsidRPr="00F844D6">
              <w:rPr>
                <w:rFonts w:cs="Calibri"/>
                <w:szCs w:val="20"/>
              </w:rPr>
              <w:t>czy Oferent musi zapewnić sobie sam taki serwis?</w:t>
            </w:r>
            <w:r w:rsidR="008E7EF7" w:rsidRPr="00F844D6">
              <w:rPr>
                <w:rFonts w:cs="Calibri"/>
                <w:szCs w:val="20"/>
              </w:rPr>
              <w:t xml:space="preserve"> W przypadku takiego rozwiązania </w:t>
            </w:r>
            <w:r w:rsidR="00B54E09" w:rsidRPr="00F844D6">
              <w:rPr>
                <w:rFonts w:cs="Calibri"/>
                <w:szCs w:val="20"/>
              </w:rPr>
              <w:t xml:space="preserve">tylko </w:t>
            </w:r>
            <w:r w:rsidR="008E7EF7" w:rsidRPr="00F844D6">
              <w:rPr>
                <w:rFonts w:cs="Calibri"/>
                <w:szCs w:val="20"/>
              </w:rPr>
              <w:t xml:space="preserve">koszty materiałów do sprzątania będą </w:t>
            </w:r>
            <w:r w:rsidR="00B54E09" w:rsidRPr="00F844D6">
              <w:rPr>
                <w:rFonts w:cs="Calibri"/>
                <w:szCs w:val="20"/>
              </w:rPr>
              <w:t>po stronie Oferenta.</w:t>
            </w:r>
          </w:p>
          <w:p w:rsidR="00765FCA" w:rsidRDefault="006A73D7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 xml:space="preserve">Jeżeli </w:t>
            </w:r>
            <w:r w:rsidR="00B54E09" w:rsidRPr="00F844D6">
              <w:rPr>
                <w:rFonts w:cs="Calibri"/>
                <w:szCs w:val="20"/>
              </w:rPr>
              <w:t xml:space="preserve">Oferent ma </w:t>
            </w:r>
            <w:r w:rsidR="008E7EF7" w:rsidRPr="00F844D6">
              <w:rPr>
                <w:rFonts w:cs="Calibri"/>
                <w:szCs w:val="20"/>
              </w:rPr>
              <w:t xml:space="preserve">zapewnić </w:t>
            </w:r>
            <w:r w:rsidR="00B54E09" w:rsidRPr="00F844D6">
              <w:rPr>
                <w:rFonts w:cs="Calibri"/>
                <w:szCs w:val="20"/>
              </w:rPr>
              <w:t xml:space="preserve">sobie serwis sprzątający </w:t>
            </w:r>
            <w:r w:rsidR="008E7EF7" w:rsidRPr="00F844D6">
              <w:rPr>
                <w:rFonts w:cs="Calibri"/>
                <w:szCs w:val="20"/>
              </w:rPr>
              <w:t xml:space="preserve">to czy możemy prosić o kontakt do Państwa serwisu sprzątającego w celu wyceny </w:t>
            </w:r>
            <w:r w:rsidR="00B54E09" w:rsidRPr="00F844D6">
              <w:rPr>
                <w:rFonts w:cs="Calibri"/>
                <w:szCs w:val="20"/>
              </w:rPr>
              <w:t xml:space="preserve">przez niego </w:t>
            </w:r>
            <w:r w:rsidR="008E7EF7" w:rsidRPr="00F844D6">
              <w:rPr>
                <w:rFonts w:cs="Calibri"/>
                <w:szCs w:val="20"/>
              </w:rPr>
              <w:t>usługi</w:t>
            </w:r>
            <w:r w:rsidR="00B54E09" w:rsidRPr="00F844D6">
              <w:rPr>
                <w:rFonts w:cs="Calibri"/>
                <w:szCs w:val="20"/>
              </w:rPr>
              <w:t xml:space="preserve"> dla nas</w:t>
            </w:r>
            <w:r w:rsidR="008E7EF7" w:rsidRPr="00F844D6">
              <w:rPr>
                <w:rFonts w:cs="Calibri"/>
                <w:szCs w:val="20"/>
              </w:rPr>
              <w:t>?</w:t>
            </w:r>
          </w:p>
          <w:p w:rsidR="003D2D5A" w:rsidRPr="00F844D6" w:rsidRDefault="00473DF5" w:rsidP="008D239F">
            <w:pPr>
              <w:rPr>
                <w:rFonts w:cs="Calibri"/>
                <w:szCs w:val="20"/>
              </w:rPr>
            </w:pPr>
            <w:r>
              <w:rPr>
                <w:rFonts w:cs="Calibri"/>
                <w:color w:val="1F497D" w:themeColor="text2"/>
                <w:szCs w:val="20"/>
              </w:rPr>
              <w:t>S</w:t>
            </w:r>
            <w:r w:rsidR="008D239F">
              <w:rPr>
                <w:rFonts w:cs="Calibri"/>
                <w:color w:val="1F497D" w:themeColor="text2"/>
                <w:szCs w:val="20"/>
              </w:rPr>
              <w:t xml:space="preserve">erwis sprzątający </w:t>
            </w:r>
            <w:r w:rsidRPr="00473DF5">
              <w:rPr>
                <w:rFonts w:cs="Calibri"/>
                <w:color w:val="1F497D" w:themeColor="text2"/>
                <w:szCs w:val="20"/>
              </w:rPr>
              <w:t>jest uwzględnion</w:t>
            </w:r>
            <w:r w:rsidR="008D239F">
              <w:rPr>
                <w:rFonts w:cs="Calibri"/>
                <w:color w:val="1F497D" w:themeColor="text2"/>
                <w:szCs w:val="20"/>
              </w:rPr>
              <w:t>y</w:t>
            </w:r>
            <w:r w:rsidRPr="00473DF5">
              <w:rPr>
                <w:rFonts w:cs="Calibri"/>
                <w:color w:val="1F497D" w:themeColor="text2"/>
                <w:szCs w:val="20"/>
              </w:rPr>
              <w:t xml:space="preserve"> w czynszu.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 xml:space="preserve">Prosimy o informację </w:t>
            </w:r>
            <w:r w:rsidR="00CB33DA" w:rsidRPr="00F844D6">
              <w:rPr>
                <w:rFonts w:cs="Calibri"/>
                <w:szCs w:val="20"/>
              </w:rPr>
              <w:t xml:space="preserve">czy możemy skorzystać z Państwa łącza internetowego oraz jakie są tego miesięczne koszty </w:t>
            </w:r>
            <w:r w:rsidR="00756639" w:rsidRPr="00F844D6">
              <w:rPr>
                <w:rFonts w:cs="Calibri"/>
                <w:szCs w:val="20"/>
              </w:rPr>
              <w:t xml:space="preserve">(pln netto) </w:t>
            </w:r>
            <w:r w:rsidR="00CB33DA" w:rsidRPr="00F844D6">
              <w:rPr>
                <w:rFonts w:cs="Calibri"/>
                <w:szCs w:val="20"/>
              </w:rPr>
              <w:t>lub też czy są uwzględnione we wskazanym czynszu.</w:t>
            </w:r>
          </w:p>
          <w:p w:rsidR="000F2058" w:rsidRPr="00F844D6" w:rsidRDefault="000F2058" w:rsidP="00846C1D">
            <w:pPr>
              <w:rPr>
                <w:rFonts w:cs="Calibri"/>
                <w:szCs w:val="20"/>
              </w:rPr>
            </w:pPr>
            <w:r w:rsidRPr="002F0D1A">
              <w:rPr>
                <w:rFonts w:cs="Calibri"/>
                <w:color w:val="1F497D" w:themeColor="text2"/>
                <w:szCs w:val="20"/>
              </w:rPr>
              <w:t>Tak, będzie możliwość skorzystania z naszego łącza internetowego. Koszty będą uwzględnione we wskazanym czynszu.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 xml:space="preserve">Czy Zamawiający jest w stanie zapewnić miejsca parkingowe </w:t>
            </w:r>
            <w:r w:rsidR="00756639" w:rsidRPr="00F844D6">
              <w:rPr>
                <w:rFonts w:cs="Calibri"/>
                <w:szCs w:val="20"/>
              </w:rPr>
              <w:t>pod</w:t>
            </w:r>
            <w:r w:rsidRPr="00F844D6">
              <w:rPr>
                <w:rFonts w:cs="Calibri"/>
                <w:szCs w:val="20"/>
              </w:rPr>
              <w:t>/przed budyniem? Jeżeli tak</w:t>
            </w:r>
            <w:r w:rsidR="00756639" w:rsidRPr="00F844D6">
              <w:rPr>
                <w:rFonts w:cs="Calibri"/>
                <w:szCs w:val="20"/>
              </w:rPr>
              <w:t xml:space="preserve"> to ile oraz</w:t>
            </w:r>
            <w:r w:rsidRPr="00F844D6">
              <w:rPr>
                <w:rFonts w:cs="Calibri"/>
                <w:szCs w:val="20"/>
              </w:rPr>
              <w:t xml:space="preserve"> jaki jest miesięczny koszt pojedynczego miejsca – netto za miejsce?</w:t>
            </w:r>
          </w:p>
          <w:p w:rsidR="002F0D1A" w:rsidRPr="00F844D6" w:rsidRDefault="002F0D1A" w:rsidP="002F0D1A">
            <w:pPr>
              <w:rPr>
                <w:rFonts w:cs="Calibri"/>
                <w:szCs w:val="20"/>
              </w:rPr>
            </w:pPr>
            <w:r w:rsidRPr="002F0D1A">
              <w:rPr>
                <w:rFonts w:cs="Calibri"/>
                <w:color w:val="1F497D" w:themeColor="text2"/>
                <w:szCs w:val="20"/>
              </w:rPr>
              <w:t xml:space="preserve">Pod budynkiem ambulatorium znajdują się miejsca parkingowe, przy czym ambulatorium mieści się na terenie </w:t>
            </w:r>
            <w:r w:rsidR="00053AA1">
              <w:rPr>
                <w:rFonts w:cs="Calibri"/>
                <w:color w:val="1F497D" w:themeColor="text2"/>
                <w:szCs w:val="20"/>
              </w:rPr>
              <w:t xml:space="preserve">zamkniętym i </w:t>
            </w:r>
            <w:r w:rsidRPr="002F0D1A">
              <w:rPr>
                <w:rFonts w:cs="Calibri"/>
                <w:color w:val="1F497D" w:themeColor="text2"/>
                <w:szCs w:val="20"/>
              </w:rPr>
              <w:t>chronionym; wjazd na jego teren wymaga uzyskania uprzednio przepustki osobowej i samochodowej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Czy Zamawiający przewiduje waloryzację kwot</w:t>
            </w:r>
            <w:r w:rsidR="00756639" w:rsidRPr="00F844D6">
              <w:rPr>
                <w:rFonts w:cs="Calibri"/>
                <w:szCs w:val="20"/>
              </w:rPr>
              <w:t xml:space="preserve"> czynszów i innych opłat</w:t>
            </w:r>
            <w:r w:rsidRPr="00F844D6">
              <w:rPr>
                <w:rFonts w:cs="Calibri"/>
                <w:szCs w:val="20"/>
              </w:rPr>
              <w:t>, jeżeli tak</w:t>
            </w:r>
            <w:r w:rsidR="002F0D1A">
              <w:rPr>
                <w:rFonts w:cs="Calibri"/>
                <w:szCs w:val="20"/>
              </w:rPr>
              <w:t>,</w:t>
            </w:r>
            <w:r w:rsidRPr="00F844D6">
              <w:rPr>
                <w:rFonts w:cs="Calibri"/>
                <w:szCs w:val="20"/>
              </w:rPr>
              <w:t xml:space="preserve"> o jaki wskaźnik i z jaką częstotliwością?</w:t>
            </w:r>
          </w:p>
          <w:p w:rsidR="002F0D1A" w:rsidRPr="00F844D6" w:rsidRDefault="002F0D1A" w:rsidP="002F0D1A">
            <w:pPr>
              <w:rPr>
                <w:rFonts w:cs="Calibri"/>
                <w:szCs w:val="20"/>
              </w:rPr>
            </w:pPr>
            <w:r w:rsidRPr="002F0D1A">
              <w:rPr>
                <w:rFonts w:cs="Calibri"/>
                <w:color w:val="1F497D" w:themeColor="text2"/>
                <w:szCs w:val="20"/>
              </w:rPr>
              <w:t xml:space="preserve">W ramach dwuletniej umowy co do zasady nie przewidujemy zmiany czynszu, za wyjątkiem istotnego wzrostu kosztu mediów (energia elektryczna, woda, odprowadzenie ścieków) 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Jak będzie zrealizowana struktura sieci LAN w placówce, czy będzie udostępniona od Zamawiającego czy może oddzielna i</w:t>
            </w:r>
            <w:r w:rsidR="009B3581" w:rsidRPr="00F844D6">
              <w:rPr>
                <w:rFonts w:cs="Calibri"/>
                <w:szCs w:val="20"/>
              </w:rPr>
              <w:t xml:space="preserve"> dostępna tylko w tej placówce?</w:t>
            </w:r>
          </w:p>
          <w:p w:rsidR="000F2058" w:rsidRPr="00F844D6" w:rsidRDefault="000F2058" w:rsidP="002F0D1A">
            <w:pPr>
              <w:rPr>
                <w:rFonts w:cs="Calibri"/>
                <w:szCs w:val="20"/>
              </w:rPr>
            </w:pPr>
            <w:r w:rsidRPr="002F0D1A">
              <w:rPr>
                <w:rFonts w:cs="Calibri"/>
                <w:color w:val="1F497D" w:themeColor="text2"/>
                <w:szCs w:val="20"/>
              </w:rPr>
              <w:t xml:space="preserve">Sieć LAN będzie udostępniona </w:t>
            </w:r>
            <w:r w:rsidR="002F0D1A" w:rsidRPr="002F0D1A">
              <w:rPr>
                <w:rFonts w:cs="Calibri"/>
                <w:color w:val="1F497D" w:themeColor="text2"/>
                <w:szCs w:val="20"/>
              </w:rPr>
              <w:t>przez</w:t>
            </w:r>
            <w:r w:rsidRPr="002F0D1A">
              <w:rPr>
                <w:rFonts w:cs="Calibri"/>
                <w:color w:val="1F497D" w:themeColor="text2"/>
                <w:szCs w:val="20"/>
              </w:rPr>
              <w:t xml:space="preserve"> Zamawiającego.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Jaka jest szybkość łącza internetowego, jeżeli udostępniona przez Zamawiającego?</w:t>
            </w:r>
          </w:p>
          <w:p w:rsidR="000F2058" w:rsidRPr="00F844D6" w:rsidRDefault="000F2058" w:rsidP="000F2058">
            <w:pPr>
              <w:rPr>
                <w:rFonts w:cs="Calibri"/>
                <w:szCs w:val="20"/>
              </w:rPr>
            </w:pPr>
            <w:r w:rsidRPr="002F0D1A">
              <w:rPr>
                <w:rFonts w:cs="Calibri"/>
                <w:color w:val="1F497D" w:themeColor="text2"/>
                <w:szCs w:val="20"/>
              </w:rPr>
              <w:t xml:space="preserve">Dla połączeń prywatnych (sieć WiFi) ruch przychodzący 30 Mb/s wychodzący 6 Mb/s. Dla komputerów podłączonych do sieci LAN w obu kierunkach min. 500 Mb/s. </w:t>
            </w:r>
          </w:p>
        </w:tc>
      </w:tr>
      <w:tr w:rsidR="00455829" w:rsidRPr="00F844D6" w:rsidTr="00765FCA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Czy na powierzchni placówki jest system alarmu budynkowego, jeżeli tak to jak jest uzbrajany?</w:t>
            </w:r>
          </w:p>
          <w:p w:rsidR="00BE114A" w:rsidRPr="00F844D6" w:rsidRDefault="00BE114A" w:rsidP="002F0D1A">
            <w:pPr>
              <w:rPr>
                <w:rFonts w:cs="Calibri"/>
                <w:szCs w:val="20"/>
              </w:rPr>
            </w:pPr>
            <w:r w:rsidRPr="00BE114A">
              <w:rPr>
                <w:rFonts w:cs="Calibri"/>
                <w:color w:val="1F497D" w:themeColor="text2"/>
                <w:szCs w:val="20"/>
              </w:rPr>
              <w:lastRenderedPageBreak/>
              <w:t>Nie ma</w:t>
            </w:r>
            <w:r w:rsidR="002F0D1A">
              <w:rPr>
                <w:rFonts w:cs="Calibri"/>
                <w:color w:val="1F497D" w:themeColor="text2"/>
                <w:szCs w:val="20"/>
              </w:rPr>
              <w:t xml:space="preserve"> takiego system, ale – jak wspomniano wcześniej – budynek ambulatorium znajduje się na terenie zamkniętym</w:t>
            </w:r>
            <w:r w:rsidR="00053AA1">
              <w:rPr>
                <w:rFonts w:cs="Calibri"/>
                <w:color w:val="1F497D" w:themeColor="text2"/>
                <w:szCs w:val="20"/>
              </w:rPr>
              <w:t xml:space="preserve"> i</w:t>
            </w:r>
            <w:r w:rsidR="002F0D1A">
              <w:rPr>
                <w:rFonts w:cs="Calibri"/>
                <w:color w:val="1F497D" w:themeColor="text2"/>
                <w:szCs w:val="20"/>
              </w:rPr>
              <w:t xml:space="preserve"> chronionym przez wewnętrzną służbę ochrony.</w:t>
            </w:r>
          </w:p>
        </w:tc>
      </w:tr>
      <w:tr w:rsidR="00455829" w:rsidRPr="00F844D6" w:rsidTr="00BA43BB">
        <w:trPr>
          <w:trHeight w:val="891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F844D6" w:rsidP="00455829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lastRenderedPageBreak/>
              <w:t>9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765FCA" w:rsidRDefault="00765FCA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Czy jest dostępny monitoring CCTV, jeżeli tak</w:t>
            </w:r>
            <w:r w:rsidR="00053AA1">
              <w:rPr>
                <w:rFonts w:cs="Calibri"/>
                <w:szCs w:val="20"/>
              </w:rPr>
              <w:t>,</w:t>
            </w:r>
            <w:r w:rsidRPr="00F844D6">
              <w:rPr>
                <w:rFonts w:cs="Calibri"/>
                <w:szCs w:val="20"/>
              </w:rPr>
              <w:t xml:space="preserve"> to jakie strefy obejmuje oraz gdzie są przechowywane nagrania. Kto ma do nich dostęp oraz jaki czas są przechowywane (czas nagrania np. 30 dni)?</w:t>
            </w:r>
          </w:p>
          <w:p w:rsidR="00EC68CD" w:rsidRDefault="00053AA1" w:rsidP="00EC68CD">
            <w:pPr>
              <w:spacing w:after="0"/>
              <w:rPr>
                <w:rFonts w:cs="Calibri"/>
                <w:color w:val="1F497D" w:themeColor="text2"/>
                <w:szCs w:val="20"/>
              </w:rPr>
            </w:pPr>
            <w:r>
              <w:rPr>
                <w:rFonts w:cs="Calibri"/>
                <w:color w:val="1F497D" w:themeColor="text2"/>
                <w:szCs w:val="20"/>
              </w:rPr>
              <w:t xml:space="preserve">Monitoring CCTV w budynku ambulatorium nie jest prowadzony. Budynek jest objęty natomiast systemem kontroli dostępu z uprawnieniami wstępu przez każdego pracownika w godzinach pracy ambulatorium. </w:t>
            </w:r>
          </w:p>
          <w:p w:rsidR="00BE114A" w:rsidRPr="00F844D6" w:rsidRDefault="00053AA1" w:rsidP="00EC68CD">
            <w:pPr>
              <w:rPr>
                <w:rFonts w:cs="Calibri"/>
                <w:szCs w:val="20"/>
              </w:rPr>
            </w:pPr>
            <w:r>
              <w:rPr>
                <w:rFonts w:cs="Calibri"/>
                <w:color w:val="1F497D" w:themeColor="text2"/>
                <w:szCs w:val="20"/>
              </w:rPr>
              <w:t>W przestrzeni ambulatorium znajduje się także</w:t>
            </w:r>
            <w:r w:rsidR="00701FA3">
              <w:rPr>
                <w:rFonts w:cs="Calibri"/>
                <w:color w:val="1F497D" w:themeColor="text2"/>
                <w:szCs w:val="20"/>
              </w:rPr>
              <w:t xml:space="preserve"> </w:t>
            </w:r>
            <w:r>
              <w:rPr>
                <w:rFonts w:cs="Calibri"/>
                <w:color w:val="1F497D" w:themeColor="text2"/>
                <w:szCs w:val="20"/>
              </w:rPr>
              <w:t>pracownia</w:t>
            </w:r>
            <w:r w:rsidR="00701FA3">
              <w:rPr>
                <w:rFonts w:cs="Calibri"/>
                <w:color w:val="1F497D" w:themeColor="text2"/>
                <w:szCs w:val="20"/>
              </w:rPr>
              <w:t xml:space="preserve"> służby ochrony radiologicznej (licznik promieniowania ciała człowieka)</w:t>
            </w:r>
            <w:r w:rsidR="00EC68CD">
              <w:rPr>
                <w:rFonts w:cs="Calibri"/>
                <w:color w:val="1F497D" w:themeColor="text2"/>
                <w:szCs w:val="20"/>
              </w:rPr>
              <w:t xml:space="preserve"> obsługiwana przez personel NCBJ </w:t>
            </w:r>
          </w:p>
        </w:tc>
      </w:tr>
      <w:tr w:rsidR="00455829" w:rsidRPr="00F844D6" w:rsidTr="00455829">
        <w:trPr>
          <w:trHeight w:val="70"/>
        </w:trPr>
        <w:tc>
          <w:tcPr>
            <w:tcW w:w="827" w:type="pct"/>
            <w:shd w:val="clear" w:color="auto" w:fill="auto"/>
            <w:noWrap/>
          </w:tcPr>
          <w:p w:rsidR="00486CDC" w:rsidRPr="00F844D6" w:rsidRDefault="00F844D6" w:rsidP="00455829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10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486CDC" w:rsidRDefault="00486CDC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 xml:space="preserve">Jaki jest stan istniejący obiektów? Kiedy był przeprowadzany ostatni remont generalny, drobne remonty. Czy jest konieczność </w:t>
            </w:r>
            <w:r w:rsidR="00F844D6">
              <w:rPr>
                <w:rFonts w:cs="Calibri"/>
                <w:szCs w:val="20"/>
              </w:rPr>
              <w:t>wykonania remontu</w:t>
            </w:r>
            <w:r w:rsidRPr="00F844D6">
              <w:rPr>
                <w:rFonts w:cs="Calibri"/>
                <w:szCs w:val="20"/>
              </w:rPr>
              <w:t>?</w:t>
            </w:r>
            <w:r w:rsidR="00F844D6">
              <w:rPr>
                <w:rFonts w:cs="Calibri"/>
                <w:szCs w:val="20"/>
              </w:rPr>
              <w:t xml:space="preserve"> Czy będzie możliwa wizja lokalna powierzchni?</w:t>
            </w:r>
          </w:p>
          <w:p w:rsidR="00795036" w:rsidRPr="00F844D6" w:rsidRDefault="00795036" w:rsidP="00795036">
            <w:pPr>
              <w:rPr>
                <w:rFonts w:cs="Calibri"/>
                <w:szCs w:val="20"/>
              </w:rPr>
            </w:pPr>
            <w:r w:rsidRPr="00795036">
              <w:rPr>
                <w:rFonts w:cs="Calibri"/>
                <w:color w:val="1F497D" w:themeColor="text2"/>
                <w:szCs w:val="20"/>
              </w:rPr>
              <w:t xml:space="preserve">Stan </w:t>
            </w:r>
            <w:r>
              <w:rPr>
                <w:rFonts w:cs="Calibri"/>
                <w:color w:val="1F497D" w:themeColor="text2"/>
                <w:szCs w:val="20"/>
              </w:rPr>
              <w:t>dobry</w:t>
            </w:r>
            <w:r w:rsidRPr="00795036">
              <w:rPr>
                <w:rFonts w:cs="Calibri"/>
                <w:color w:val="1F497D" w:themeColor="text2"/>
                <w:szCs w:val="20"/>
              </w:rPr>
              <w:t xml:space="preserve">, pokoje są wyremontowane. W ciągu ostatnich </w:t>
            </w:r>
            <w:r>
              <w:rPr>
                <w:rFonts w:cs="Calibri"/>
                <w:color w:val="1F497D" w:themeColor="text2"/>
                <w:szCs w:val="20"/>
              </w:rPr>
              <w:t xml:space="preserve">pięciu lat były wykonane remonty i odnowienia pomieszczeń. Drzwi do gabinetów były wymienione w 2019r na dźwiękoszczelne. Tak, istnieje możliwość obejrzenia pomieszczeń. </w:t>
            </w:r>
          </w:p>
        </w:tc>
      </w:tr>
      <w:tr w:rsidR="00455829" w:rsidRPr="00F844D6" w:rsidTr="00455829">
        <w:trPr>
          <w:trHeight w:val="70"/>
        </w:trPr>
        <w:tc>
          <w:tcPr>
            <w:tcW w:w="827" w:type="pct"/>
            <w:shd w:val="clear" w:color="auto" w:fill="auto"/>
            <w:noWrap/>
          </w:tcPr>
          <w:p w:rsidR="00486CDC" w:rsidRPr="00F844D6" w:rsidRDefault="00F844D6" w:rsidP="00455829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11</w:t>
            </w:r>
          </w:p>
        </w:tc>
        <w:tc>
          <w:tcPr>
            <w:tcW w:w="4173" w:type="pct"/>
            <w:shd w:val="clear" w:color="auto" w:fill="auto"/>
            <w:noWrap/>
            <w:vAlign w:val="center"/>
          </w:tcPr>
          <w:p w:rsidR="00486CDC" w:rsidRDefault="00486CDC" w:rsidP="00846C1D">
            <w:pPr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Po czyjej stronie będzie obs</w:t>
            </w:r>
            <w:r w:rsidR="001E05B0">
              <w:rPr>
                <w:rFonts w:cs="Calibri"/>
                <w:szCs w:val="20"/>
              </w:rPr>
              <w:t>ługa techniczna/serwis placówki</w:t>
            </w:r>
            <w:r w:rsidRPr="00F844D6">
              <w:rPr>
                <w:rFonts w:cs="Calibri"/>
                <w:szCs w:val="20"/>
              </w:rPr>
              <w:t>?</w:t>
            </w:r>
          </w:p>
          <w:p w:rsidR="00BA69D8" w:rsidRPr="00F844D6" w:rsidRDefault="00BA69D8" w:rsidP="00BA69D8">
            <w:pPr>
              <w:rPr>
                <w:rFonts w:cs="Calibri"/>
                <w:szCs w:val="20"/>
              </w:rPr>
            </w:pPr>
            <w:r w:rsidRPr="00BA69D8">
              <w:rPr>
                <w:rFonts w:cs="Calibri"/>
                <w:color w:val="1F497D" w:themeColor="text2"/>
                <w:szCs w:val="20"/>
              </w:rPr>
              <w:t>Obsługa techniczna/serwis po stronie Zamawiającego</w:t>
            </w:r>
            <w:r w:rsidR="008D239F">
              <w:rPr>
                <w:rFonts w:cs="Calibri"/>
                <w:color w:val="1F497D" w:themeColor="text2"/>
                <w:szCs w:val="20"/>
              </w:rPr>
              <w:t>.</w:t>
            </w:r>
          </w:p>
        </w:tc>
      </w:tr>
      <w:tr w:rsidR="007B15EF" w:rsidRPr="00F844D6" w:rsidTr="00455829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B15EF" w:rsidRDefault="00846C1D" w:rsidP="00455829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12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7B15EF" w:rsidRDefault="007B15EF" w:rsidP="00846C1D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 xml:space="preserve">Jaki czas Zamawiający przewiduje </w:t>
            </w:r>
            <w:r w:rsidR="00A75A1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od momentu podpisania kontraktu do momentu uruchomienia placówki przyzakładowej? </w:t>
            </w:r>
            <w:r w:rsidR="00940AB7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Potrzebujemy ok. </w:t>
            </w:r>
            <w:r w:rsidR="00A75A1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3 miesiące na zorganizowanie </w:t>
            </w:r>
            <w:r w:rsidR="00AC2BC5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działalności </w:t>
            </w:r>
            <w:r w:rsidR="00940AB7">
              <w:rPr>
                <w:rFonts w:ascii="Source Sans Pro" w:hAnsi="Source Sans Pro"/>
                <w:color w:val="auto"/>
                <w:sz w:val="20"/>
                <w:szCs w:val="20"/>
              </w:rPr>
              <w:t>(głównie z uwagi na przewidywany dłuższy czas rekrutacji lekarzy MP z odpowiednimi uprawnieniami</w:t>
            </w:r>
            <w:r w:rsidR="00940AB7" w:rsidRPr="00940AB7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„tzw. J”</w:t>
            </w:r>
            <w:r w:rsidR="00940AB7">
              <w:rPr>
                <w:rFonts w:ascii="Source Sans Pro" w:hAnsi="Source Sans Pro"/>
                <w:color w:val="auto"/>
                <w:sz w:val="20"/>
                <w:szCs w:val="20"/>
              </w:rPr>
              <w:t>).</w:t>
            </w:r>
            <w:r w:rsidR="009D13EB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</w:t>
            </w:r>
            <w:r w:rsidR="00AC2BC5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W tym czasie </w:t>
            </w:r>
            <w:r w:rsidR="00F36935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Oferent może zapewnić obsługę </w:t>
            </w:r>
            <w:r w:rsidR="007C1271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kontraktu </w:t>
            </w:r>
            <w:r w:rsidR="00F36935">
              <w:rPr>
                <w:rFonts w:ascii="Source Sans Pro" w:hAnsi="Source Sans Pro"/>
                <w:color w:val="auto"/>
                <w:sz w:val="20"/>
                <w:szCs w:val="20"/>
              </w:rPr>
              <w:t>w ramach placówek zewnętrznych</w:t>
            </w:r>
            <w:r w:rsidR="005F1AAB">
              <w:rPr>
                <w:rFonts w:ascii="Source Sans Pro" w:hAnsi="Source Sans Pro"/>
                <w:color w:val="auto"/>
                <w:sz w:val="20"/>
                <w:szCs w:val="20"/>
              </w:rPr>
              <w:t>.</w:t>
            </w:r>
          </w:p>
          <w:p w:rsidR="00701FA3" w:rsidRDefault="00701FA3" w:rsidP="00701FA3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</w:p>
          <w:p w:rsidR="00F621F4" w:rsidRPr="00EC68CD" w:rsidRDefault="00F621F4" w:rsidP="00701FA3">
            <w:pPr>
              <w:pStyle w:val="Default"/>
              <w:rPr>
                <w:rFonts w:ascii="Source Sans Pro" w:hAnsi="Source Sans Pro"/>
                <w:color w:val="1F497D" w:themeColor="text2"/>
                <w:sz w:val="20"/>
                <w:szCs w:val="20"/>
              </w:rPr>
            </w:pPr>
            <w:r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Intencjonalnie zakładaliśmy, iż uruchomienie nastąpi z początkiem nowego roku, niemniej jednak termin jest negocjowa</w:t>
            </w:r>
            <w:r w:rsid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l</w:t>
            </w:r>
            <w:r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ny.</w:t>
            </w:r>
          </w:p>
          <w:p w:rsidR="00701FA3" w:rsidRPr="00F844D6" w:rsidRDefault="00701FA3" w:rsidP="00701FA3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</w:p>
        </w:tc>
      </w:tr>
      <w:tr w:rsidR="00455829" w:rsidRPr="00F844D6" w:rsidTr="00455829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765FCA" w:rsidRPr="00F844D6" w:rsidRDefault="00846C1D" w:rsidP="00455829">
            <w:pPr>
              <w:spacing w:after="0" w:line="240" w:lineRule="auto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13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6A67C2" w:rsidRDefault="00596BA1" w:rsidP="00846C1D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„Wykonawca powinien uzyskać pozytywną opinię Sanepidu na prowadzenie działalności leczniczej w ww. </w:t>
            </w:r>
            <w:r w:rsidR="005A1B83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lokalizacji„ </w:t>
            </w:r>
            <w:r w:rsidR="00846C1D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- 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Jaki jest czas na uzyskanie opinii od dnia </w:t>
            </w:r>
            <w:r w:rsidR="005A1B83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podpisania 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>kontraktu?</w:t>
            </w:r>
          </w:p>
          <w:p w:rsidR="00BA43BB" w:rsidRDefault="00BA43BB" w:rsidP="00846C1D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</w:p>
          <w:p w:rsidR="00EC68CD" w:rsidRPr="00EC68CD" w:rsidRDefault="00F621F4" w:rsidP="00846C1D">
            <w:pPr>
              <w:pStyle w:val="Default"/>
              <w:rPr>
                <w:rFonts w:ascii="Source Sans Pro" w:hAnsi="Source Sans Pro"/>
                <w:color w:val="1F497D" w:themeColor="text2"/>
                <w:sz w:val="20"/>
                <w:szCs w:val="20"/>
              </w:rPr>
            </w:pPr>
            <w:r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Wedle wiedzy zmawiającego nie ma formalnego obowiązku uzyskania</w:t>
            </w:r>
            <w:r w:rsidR="00EC68CD"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 xml:space="preserve"> </w:t>
            </w:r>
            <w:r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uprzedniej</w:t>
            </w:r>
            <w:r w:rsidR="00EC68CD"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 xml:space="preserve"> zgody Sanepidu, niemniej jednak stosowne przepisy muszą być przestrzegane. </w:t>
            </w:r>
          </w:p>
          <w:p w:rsidR="00F621F4" w:rsidRPr="00EC68CD" w:rsidRDefault="00EC68CD" w:rsidP="00846C1D">
            <w:pPr>
              <w:pStyle w:val="Default"/>
              <w:rPr>
                <w:rFonts w:ascii="Source Sans Pro" w:hAnsi="Source Sans Pro"/>
                <w:color w:val="1F497D" w:themeColor="text2"/>
                <w:sz w:val="20"/>
                <w:szCs w:val="20"/>
              </w:rPr>
            </w:pPr>
            <w:r w:rsidRPr="00EC68CD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 xml:space="preserve">W budynku ambulatorium była i nadal jest prowadzona działalność lecznicza, a odpowiednie kontrole Sanepidu były pozytywne.   </w:t>
            </w:r>
          </w:p>
          <w:p w:rsidR="00F621F4" w:rsidRPr="00F844D6" w:rsidRDefault="00F621F4" w:rsidP="00846C1D">
            <w:pPr>
              <w:pStyle w:val="Default"/>
              <w:rPr>
                <w:rFonts w:ascii="Source Sans Pro" w:hAnsi="Source Sans Pro"/>
                <w:color w:val="auto"/>
                <w:sz w:val="20"/>
                <w:szCs w:val="20"/>
              </w:rPr>
            </w:pPr>
          </w:p>
        </w:tc>
      </w:tr>
      <w:tr w:rsidR="00455829" w:rsidRPr="00F844D6" w:rsidTr="00455829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6A67C2" w:rsidRPr="00F844D6" w:rsidRDefault="00846C1D" w:rsidP="00455829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6A67C2" w:rsidRDefault="003B4EBA" w:rsidP="00011FEC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„P</w:t>
            </w:r>
            <w:r w:rsidR="00596BA1" w:rsidRPr="00F844D6">
              <w:rPr>
                <w:rFonts w:cs="Calibri"/>
                <w:szCs w:val="20"/>
              </w:rPr>
              <w:t xml:space="preserve">rzeprowadzanie konsultacji specjalistycznych, badań diagnostycznych, laboratoryjnych w zakresie niezbędnym do wydania orzeczeń lekarskich” – </w:t>
            </w:r>
            <w:r>
              <w:rPr>
                <w:rFonts w:cs="Calibri"/>
                <w:szCs w:val="20"/>
              </w:rPr>
              <w:t>Czy w przypadku badań</w:t>
            </w:r>
            <w:r w:rsidR="00596BA1" w:rsidRPr="00F844D6">
              <w:rPr>
                <w:rFonts w:cs="Calibri"/>
                <w:szCs w:val="20"/>
              </w:rPr>
              <w:t xml:space="preserve"> nie realizowanych w placówce (np. psychotechnika) istnieje możliwość korzystania z podwykonawców na terenie Warszawy? Czy takie badania </w:t>
            </w:r>
            <w:r>
              <w:rPr>
                <w:rFonts w:cs="Calibri"/>
                <w:szCs w:val="20"/>
              </w:rPr>
              <w:t xml:space="preserve">mają być ujęte w całościowe wycenie placówki przyzakładowej czy </w:t>
            </w:r>
            <w:r w:rsidR="00011FEC">
              <w:rPr>
                <w:rFonts w:cs="Calibri"/>
                <w:szCs w:val="20"/>
              </w:rPr>
              <w:t xml:space="preserve">mają być </w:t>
            </w:r>
            <w:r w:rsidR="00596BA1" w:rsidRPr="00F844D6">
              <w:rPr>
                <w:rFonts w:cs="Calibri"/>
                <w:szCs w:val="20"/>
              </w:rPr>
              <w:t>oddzielnie rozliczane?</w:t>
            </w:r>
          </w:p>
          <w:p w:rsidR="001514A0" w:rsidRDefault="00EC68CD" w:rsidP="001D7FE8">
            <w:pPr>
              <w:spacing w:after="0"/>
              <w:rPr>
                <w:rFonts w:cs="Calibri"/>
                <w:color w:val="1F497D" w:themeColor="text2"/>
                <w:szCs w:val="20"/>
              </w:rPr>
            </w:pPr>
            <w:r w:rsidRPr="001D7FE8">
              <w:rPr>
                <w:rFonts w:cs="Calibri"/>
                <w:color w:val="1F497D" w:themeColor="text2"/>
                <w:szCs w:val="20"/>
              </w:rPr>
              <w:t>Wszelkie badania potrzebne do wydania orzeczenia z zakresu medycyny pracy powinny być ujęte w całościowej wycenie</w:t>
            </w:r>
            <w:r w:rsidR="001514A0">
              <w:rPr>
                <w:rFonts w:cs="Calibri"/>
                <w:color w:val="1F497D" w:themeColor="text2"/>
                <w:szCs w:val="20"/>
              </w:rPr>
              <w:t>.</w:t>
            </w:r>
            <w:r w:rsidRPr="001D7FE8">
              <w:rPr>
                <w:rFonts w:cs="Calibri"/>
                <w:color w:val="1F497D" w:themeColor="text2"/>
                <w:szCs w:val="20"/>
              </w:rPr>
              <w:t xml:space="preserve"> </w:t>
            </w:r>
          </w:p>
          <w:p w:rsidR="001D7FE8" w:rsidRPr="001D7FE8" w:rsidRDefault="001514A0" w:rsidP="001514A0">
            <w:pPr>
              <w:spacing w:before="120" w:after="0"/>
              <w:rPr>
                <w:rFonts w:cs="Calibri"/>
                <w:color w:val="1F497D" w:themeColor="text2"/>
                <w:szCs w:val="20"/>
              </w:rPr>
            </w:pPr>
            <w:r>
              <w:rPr>
                <w:rFonts w:cs="Calibri"/>
                <w:color w:val="1F497D" w:themeColor="text2"/>
                <w:szCs w:val="20"/>
              </w:rPr>
              <w:t>D</w:t>
            </w:r>
            <w:r w:rsidR="00EC68CD" w:rsidRPr="001D7FE8">
              <w:rPr>
                <w:rFonts w:cs="Calibri"/>
                <w:color w:val="1F497D" w:themeColor="text2"/>
                <w:szCs w:val="20"/>
              </w:rPr>
              <w:t>odatkowym rozliczeniem objęte są</w:t>
            </w:r>
            <w:r w:rsidR="001D7FE8" w:rsidRPr="001D7FE8">
              <w:rPr>
                <w:rFonts w:cs="Calibri"/>
                <w:color w:val="1F497D" w:themeColor="text2"/>
                <w:szCs w:val="20"/>
              </w:rPr>
              <w:t>:</w:t>
            </w:r>
          </w:p>
          <w:p w:rsidR="001D7FE8" w:rsidRPr="001D7FE8" w:rsidRDefault="001D7FE8" w:rsidP="001D7FE8">
            <w:pPr>
              <w:spacing w:after="0"/>
              <w:rPr>
                <w:rFonts w:cs="Calibri"/>
                <w:color w:val="1F497D" w:themeColor="text2"/>
                <w:szCs w:val="20"/>
              </w:rPr>
            </w:pPr>
            <w:r w:rsidRPr="001D7FE8">
              <w:rPr>
                <w:rFonts w:cs="Calibri"/>
                <w:color w:val="1F497D" w:themeColor="text2"/>
                <w:szCs w:val="20"/>
              </w:rPr>
              <w:lastRenderedPageBreak/>
              <w:t xml:space="preserve">1. Badania specjalistyczne krwi (immunologiczne): przeciwciała anty-HCV, antygen Hbs, przeciwciała IgG, przeciwciała IgM, przeciwciała anty-HIV   </w:t>
            </w:r>
          </w:p>
          <w:p w:rsidR="001D7FE8" w:rsidRPr="001D7FE8" w:rsidRDefault="001D7FE8" w:rsidP="001D7FE8">
            <w:pPr>
              <w:spacing w:after="0"/>
              <w:rPr>
                <w:rFonts w:cs="Calibri"/>
                <w:color w:val="1F497D" w:themeColor="text2"/>
                <w:szCs w:val="20"/>
              </w:rPr>
            </w:pPr>
            <w:r w:rsidRPr="001D7FE8">
              <w:rPr>
                <w:rFonts w:cs="Calibri"/>
                <w:color w:val="1F497D" w:themeColor="text2"/>
                <w:szCs w:val="20"/>
              </w:rPr>
              <w:t>2. Badania specjalistyczne (biochemiczne) krwi wchodzące w skład badań profilaktycznych: bilirubina, kreatynina, GGTP</w:t>
            </w:r>
          </w:p>
          <w:p w:rsidR="00EC68CD" w:rsidRPr="00F844D6" w:rsidRDefault="001D7FE8" w:rsidP="0081003B">
            <w:pPr>
              <w:spacing w:after="120"/>
              <w:rPr>
                <w:rFonts w:cs="Calibri"/>
                <w:szCs w:val="20"/>
              </w:rPr>
            </w:pPr>
            <w:r w:rsidRPr="001D7FE8">
              <w:rPr>
                <w:rFonts w:cs="Calibri"/>
                <w:color w:val="1F497D" w:themeColor="text2"/>
                <w:szCs w:val="20"/>
              </w:rPr>
              <w:t>3. Szczepienia (koszt szczepionki) w ramach profilaktyki zawodowej, przeciw grypie</w:t>
            </w:r>
            <w:r w:rsidR="00EC68CD">
              <w:rPr>
                <w:rFonts w:cs="Calibri"/>
                <w:szCs w:val="20"/>
              </w:rPr>
              <w:t xml:space="preserve">  </w:t>
            </w:r>
          </w:p>
        </w:tc>
      </w:tr>
      <w:tr w:rsidR="00455829" w:rsidRPr="00F844D6" w:rsidTr="00B17BA9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6A67C2" w:rsidRPr="00F844D6" w:rsidRDefault="00F844D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6A67C2" w:rsidRDefault="004318B8" w:rsidP="004318B8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„Z</w:t>
            </w:r>
            <w:r w:rsidR="00596BA1" w:rsidRPr="00F844D6">
              <w:rPr>
                <w:rFonts w:cs="Calibri"/>
                <w:szCs w:val="20"/>
              </w:rPr>
              <w:t>apewnienie wykonywania specyficznych badań anality</w:t>
            </w:r>
            <w:r>
              <w:rPr>
                <w:rFonts w:cs="Calibri"/>
                <w:szCs w:val="20"/>
              </w:rPr>
              <w:t>cznych”- Prosimy o doprecyzowanie</w:t>
            </w:r>
          </w:p>
          <w:p w:rsidR="001D7FE8" w:rsidRPr="00F844D6" w:rsidRDefault="001D7FE8" w:rsidP="001D7FE8">
            <w:pPr>
              <w:rPr>
                <w:rFonts w:cs="Calibri"/>
                <w:szCs w:val="20"/>
              </w:rPr>
            </w:pPr>
            <w:r w:rsidRPr="001D7FE8">
              <w:rPr>
                <w:rFonts w:cs="Calibri"/>
                <w:color w:val="1F497D" w:themeColor="text2"/>
                <w:szCs w:val="20"/>
              </w:rPr>
              <w:t>To badania, nieobjęte ryczałtową wyceną, o których mowa w pkt. 14</w:t>
            </w:r>
          </w:p>
        </w:tc>
      </w:tr>
      <w:tr w:rsidR="00455829" w:rsidRPr="00F844D6" w:rsidTr="00B17BA9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6A67C2" w:rsidRPr="00F844D6" w:rsidRDefault="00AA5E44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6A67C2" w:rsidRDefault="00596BA1" w:rsidP="001D7FE8">
            <w:pPr>
              <w:pStyle w:val="Default"/>
              <w:spacing w:after="20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>„Wykonanie badań z zakresu medycyny pracy, łącznie z wykonaniem niezbędnych badań laboratoryjnych i diagnostycznych, w terminie do 2 dni roboczych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>”- J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aki zakres badań 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jest 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obecnie świadczony na miejscu? W przypadku badań specjalistycznych, pobrania 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>krwi i czekania na wynik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, 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oraz </w:t>
            </w:r>
            <w:r w:rsidR="004318B8"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jeśli 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niektóre badania </w:t>
            </w:r>
            <w:r w:rsidR="004318B8" w:rsidRPr="00F844D6">
              <w:rPr>
                <w:rFonts w:ascii="Source Sans Pro" w:hAnsi="Source Sans Pro"/>
                <w:color w:val="auto"/>
                <w:sz w:val="20"/>
                <w:szCs w:val="20"/>
              </w:rPr>
              <w:t>mają być realizowane poza placówką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>,</w:t>
            </w:r>
            <w:r w:rsidR="004318B8"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termin </w:t>
            </w:r>
            <w:r w:rsidR="004318B8">
              <w:rPr>
                <w:rFonts w:ascii="Source Sans Pro" w:hAnsi="Source Sans Pro"/>
                <w:color w:val="auto"/>
                <w:sz w:val="20"/>
                <w:szCs w:val="20"/>
              </w:rPr>
              <w:t>jest za krótki</w:t>
            </w:r>
            <w:r w:rsidRPr="00F844D6">
              <w:rPr>
                <w:rFonts w:ascii="Source Sans Pro" w:hAnsi="Source Sans Pro"/>
                <w:color w:val="auto"/>
                <w:sz w:val="20"/>
                <w:szCs w:val="20"/>
              </w:rPr>
              <w:t>. Czy istnieje możliwość wydłużenia terminu?</w:t>
            </w:r>
          </w:p>
          <w:p w:rsidR="001D7FE8" w:rsidRPr="001D7FE8" w:rsidRDefault="001D7FE8" w:rsidP="001D7FE8">
            <w:pPr>
              <w:pStyle w:val="Default"/>
              <w:rPr>
                <w:rFonts w:ascii="Source Sans Pro" w:hAnsi="Source Sans Pro"/>
                <w:color w:val="1F497D" w:themeColor="text2"/>
                <w:sz w:val="20"/>
                <w:szCs w:val="20"/>
              </w:rPr>
            </w:pPr>
            <w:r w:rsidRPr="001D7FE8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Na miejscu jest punkt pobrań materiału do badań, wszystkie analizy są wykonywane na zewnątrz.</w:t>
            </w:r>
          </w:p>
          <w:p w:rsidR="00BA43BB" w:rsidRPr="001D7FE8" w:rsidRDefault="001D7FE8" w:rsidP="001D7FE8">
            <w:pPr>
              <w:pStyle w:val="Default"/>
              <w:spacing w:after="200"/>
              <w:rPr>
                <w:rFonts w:ascii="Source Sans Pro" w:hAnsi="Source Sans Pro"/>
                <w:color w:val="1F497D" w:themeColor="text2"/>
                <w:sz w:val="20"/>
                <w:szCs w:val="20"/>
              </w:rPr>
            </w:pPr>
            <w:r w:rsidRPr="001D7FE8">
              <w:rPr>
                <w:rFonts w:ascii="Source Sans Pro" w:hAnsi="Source Sans Pro"/>
                <w:color w:val="1F497D" w:themeColor="text2"/>
                <w:sz w:val="20"/>
                <w:szCs w:val="20"/>
              </w:rPr>
              <w:t>W rutynowych przypadkach dwudniowy termin analiz powinien być dotrzymany, w przypadku specyficznych badań akceptowalne byłoby wydłużenie tego terminu (temat do negocjacji)</w:t>
            </w:r>
          </w:p>
        </w:tc>
      </w:tr>
      <w:tr w:rsidR="00D2552C" w:rsidRPr="00F844D6" w:rsidTr="0023521C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D2552C" w:rsidRPr="00F844D6" w:rsidRDefault="00D2552C" w:rsidP="00D71789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D2552C" w:rsidRDefault="00D2552C" w:rsidP="00DD7639">
            <w:pPr>
              <w:spacing w:after="0"/>
              <w:rPr>
                <w:rFonts w:cs="Calibri"/>
                <w:szCs w:val="20"/>
              </w:rPr>
            </w:pPr>
            <w:r w:rsidRPr="00F844D6">
              <w:rPr>
                <w:rFonts w:cs="Calibri"/>
                <w:szCs w:val="20"/>
              </w:rPr>
              <w:t>„e) Nielimitowana liczba zabiegów ambulatoryjnych</w:t>
            </w:r>
            <w:r>
              <w:rPr>
                <w:rFonts w:cs="Calibri"/>
                <w:szCs w:val="20"/>
              </w:rPr>
              <w:t>”</w:t>
            </w:r>
            <w:r w:rsidRPr="00F844D6">
              <w:rPr>
                <w:rFonts w:cs="Calibri"/>
                <w:szCs w:val="20"/>
              </w:rPr>
              <w:t xml:space="preserve"> – </w:t>
            </w:r>
            <w:r>
              <w:rPr>
                <w:rFonts w:cs="Calibri"/>
                <w:szCs w:val="20"/>
              </w:rPr>
              <w:t>O jakie konkretnie zabiegi chodzi</w:t>
            </w:r>
            <w:r w:rsidRPr="00F844D6">
              <w:rPr>
                <w:rFonts w:cs="Calibri"/>
                <w:szCs w:val="20"/>
              </w:rPr>
              <w:t xml:space="preserve"> / z jakiego zakresu?</w:t>
            </w:r>
          </w:p>
          <w:p w:rsidR="00DD7639" w:rsidRPr="00DD7639" w:rsidRDefault="00DD7639" w:rsidP="00846C1D">
            <w:pPr>
              <w:rPr>
                <w:rFonts w:cs="Calibri"/>
                <w:color w:val="1F497D" w:themeColor="text2"/>
                <w:szCs w:val="20"/>
              </w:rPr>
            </w:pPr>
            <w:r w:rsidRPr="00DD7639">
              <w:rPr>
                <w:rFonts w:cs="Calibri"/>
                <w:color w:val="1F497D" w:themeColor="text2"/>
                <w:szCs w:val="20"/>
              </w:rPr>
              <w:t>Należy przez to rozumieć zabiegi polegające na wykonaniu zastrzyku,</w:t>
            </w:r>
            <w:r w:rsidR="001514A0">
              <w:rPr>
                <w:rFonts w:cs="Calibri"/>
                <w:color w:val="1F497D" w:themeColor="text2"/>
                <w:szCs w:val="20"/>
              </w:rPr>
              <w:t xml:space="preserve"> szczepienia,</w:t>
            </w:r>
            <w:r w:rsidRPr="00DD7639">
              <w:rPr>
                <w:rFonts w:cs="Calibri"/>
                <w:color w:val="1F497D" w:themeColor="text2"/>
                <w:szCs w:val="20"/>
              </w:rPr>
              <w:t xml:space="preserve"> zmianie opatrunku etc.</w:t>
            </w:r>
          </w:p>
          <w:p w:rsidR="00712342" w:rsidRDefault="00D2552C" w:rsidP="00A017D9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„</w:t>
            </w:r>
            <w:r w:rsidRPr="00F844D6">
              <w:rPr>
                <w:rFonts w:cs="Calibri"/>
                <w:szCs w:val="20"/>
              </w:rPr>
              <w:t>f) Nielimitowana liczba badań diagnostycznych i badań laboratoryjnych:</w:t>
            </w:r>
            <w:r>
              <w:rPr>
                <w:rFonts w:cs="Calibri"/>
                <w:szCs w:val="20"/>
              </w:rPr>
              <w:t xml:space="preserve"> </w:t>
            </w:r>
            <w:r w:rsidRPr="00F844D6">
              <w:rPr>
                <w:rFonts w:cs="Calibri"/>
                <w:szCs w:val="20"/>
              </w:rPr>
              <w:t xml:space="preserve">badań moczu, morfologii krwi, diagnostyki cukrzycy, OB, morfologia, zdjęcie RTG klatki piersiowej”- </w:t>
            </w:r>
            <w:r>
              <w:rPr>
                <w:rFonts w:cs="Calibri"/>
                <w:szCs w:val="20"/>
              </w:rPr>
              <w:t>C</w:t>
            </w:r>
            <w:r w:rsidRPr="00F844D6">
              <w:rPr>
                <w:rFonts w:cs="Calibri"/>
                <w:szCs w:val="20"/>
              </w:rPr>
              <w:t xml:space="preserve">zy istnieje </w:t>
            </w:r>
            <w:r>
              <w:rPr>
                <w:rFonts w:cs="Calibri"/>
                <w:szCs w:val="20"/>
              </w:rPr>
              <w:t xml:space="preserve">jednak </w:t>
            </w:r>
            <w:r w:rsidRPr="00F844D6">
              <w:rPr>
                <w:rFonts w:cs="Calibri"/>
                <w:szCs w:val="20"/>
              </w:rPr>
              <w:t xml:space="preserve">możliwość </w:t>
            </w:r>
            <w:r>
              <w:rPr>
                <w:rFonts w:cs="Calibri"/>
                <w:szCs w:val="20"/>
              </w:rPr>
              <w:t xml:space="preserve">wprowadzenia </w:t>
            </w:r>
            <w:r w:rsidRPr="00F844D6">
              <w:rPr>
                <w:rFonts w:cs="Calibri"/>
                <w:szCs w:val="20"/>
              </w:rPr>
              <w:t>limitowania</w:t>
            </w:r>
            <w:r w:rsidR="00011FEC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>zgodnie z zaleceniami lekarskimi</w:t>
            </w:r>
            <w:r w:rsidRPr="00F844D6">
              <w:rPr>
                <w:rFonts w:cs="Calibri"/>
                <w:szCs w:val="20"/>
              </w:rPr>
              <w:t>?</w:t>
            </w:r>
          </w:p>
          <w:p w:rsidR="00DD7639" w:rsidRPr="00F844D6" w:rsidRDefault="00DD7639" w:rsidP="00DD7639">
            <w:pPr>
              <w:rPr>
                <w:rFonts w:cs="Calibri"/>
                <w:szCs w:val="20"/>
              </w:rPr>
            </w:pPr>
            <w:r w:rsidRPr="00DD7639">
              <w:rPr>
                <w:rFonts w:cs="Calibri"/>
                <w:color w:val="1F497D" w:themeColor="text2"/>
                <w:szCs w:val="20"/>
              </w:rPr>
              <w:t xml:space="preserve">Rzeczywiście nie chodzi o badania „na życzenie”, a te mające podstawy we wskazaniach lekarskich. </w:t>
            </w:r>
          </w:p>
        </w:tc>
      </w:tr>
      <w:tr w:rsidR="00D803FD" w:rsidRPr="00F844D6" w:rsidTr="0023521C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D803FD" w:rsidRDefault="00DD7639" w:rsidP="00D71789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D803FD" w:rsidRDefault="00D803FD" w:rsidP="00846C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Prosimy o przesłanie rzutów pomieszczeń. </w:t>
            </w:r>
          </w:p>
          <w:p w:rsidR="00DD7639" w:rsidRPr="00F844D6" w:rsidRDefault="00DD7639" w:rsidP="00A017D9">
            <w:pPr>
              <w:rPr>
                <w:rFonts w:cs="Calibri"/>
                <w:szCs w:val="20"/>
              </w:rPr>
            </w:pPr>
            <w:r w:rsidRPr="00DD7639">
              <w:rPr>
                <w:rFonts w:cs="Calibri"/>
                <w:color w:val="1F497D" w:themeColor="text2"/>
                <w:szCs w:val="20"/>
              </w:rPr>
              <w:t xml:space="preserve">Rzut pomieszczeń </w:t>
            </w:r>
            <w:r>
              <w:rPr>
                <w:rFonts w:cs="Calibri"/>
                <w:color w:val="1F497D" w:themeColor="text2"/>
                <w:szCs w:val="20"/>
              </w:rPr>
              <w:t xml:space="preserve">znajduje się </w:t>
            </w:r>
            <w:r w:rsidRPr="00DD7639">
              <w:rPr>
                <w:rFonts w:cs="Calibri"/>
                <w:color w:val="1F497D" w:themeColor="text2"/>
                <w:szCs w:val="20"/>
              </w:rPr>
              <w:t>w odrębnych załączniku</w:t>
            </w:r>
            <w:r w:rsidR="00A017D9">
              <w:rPr>
                <w:rFonts w:cs="Calibri"/>
                <w:color w:val="1F497D" w:themeColor="text2"/>
                <w:szCs w:val="20"/>
              </w:rPr>
              <w:t>. Możliwa jest także wizja lokalna na miejscu</w:t>
            </w:r>
            <w:bookmarkStart w:id="0" w:name="_GoBack"/>
            <w:bookmarkEnd w:id="0"/>
            <w:r w:rsidR="00A017D9">
              <w:rPr>
                <w:rFonts w:cs="Calibri"/>
                <w:color w:val="1F497D" w:themeColor="text2"/>
                <w:szCs w:val="20"/>
              </w:rPr>
              <w:t xml:space="preserve">. </w:t>
            </w:r>
          </w:p>
        </w:tc>
      </w:tr>
      <w:tr w:rsidR="00D803FD" w:rsidRPr="00F844D6" w:rsidTr="0023521C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D803FD" w:rsidRDefault="00DD7639" w:rsidP="00D71789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D803FD" w:rsidRDefault="00D803FD" w:rsidP="00846C1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Czy zgoda</w:t>
            </w:r>
            <w:r w:rsidR="00DD7639">
              <w:rPr>
                <w:rFonts w:cs="Calibri"/>
                <w:szCs w:val="20"/>
              </w:rPr>
              <w:t>,</w:t>
            </w:r>
            <w:r>
              <w:rPr>
                <w:rFonts w:cs="Calibri"/>
                <w:szCs w:val="20"/>
              </w:rPr>
              <w:t xml:space="preserve"> o której pisze zamawiający w punkcie II.2.F jest udzielana przy każdorazowym zleceniu usługi czy jest ustalony w umowie katalog świadczeń, które mogą być realizowane poza placówką przyzakładową. </w:t>
            </w:r>
          </w:p>
          <w:p w:rsidR="00DD7639" w:rsidRDefault="00DD7639" w:rsidP="00DD7639">
            <w:pPr>
              <w:rPr>
                <w:rFonts w:cs="Calibri"/>
                <w:szCs w:val="20"/>
              </w:rPr>
            </w:pPr>
            <w:r w:rsidRPr="00DD7639">
              <w:rPr>
                <w:rFonts w:cs="Calibri"/>
                <w:color w:val="1F497D" w:themeColor="text2"/>
                <w:szCs w:val="20"/>
              </w:rPr>
              <w:t>Będzie to regulacja systemowa ustalona w umowie</w:t>
            </w:r>
          </w:p>
        </w:tc>
      </w:tr>
      <w:tr w:rsidR="004E291E" w:rsidRPr="00F844D6" w:rsidTr="0023521C">
        <w:trPr>
          <w:trHeight w:val="285"/>
        </w:trPr>
        <w:tc>
          <w:tcPr>
            <w:tcW w:w="827" w:type="pct"/>
            <w:shd w:val="clear" w:color="auto" w:fill="auto"/>
            <w:noWrap/>
          </w:tcPr>
          <w:p w:rsidR="004E291E" w:rsidRDefault="00DD7639" w:rsidP="00D71789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173" w:type="pct"/>
            <w:shd w:val="clear" w:color="auto" w:fill="auto"/>
            <w:noWrap/>
            <w:vAlign w:val="bottom"/>
          </w:tcPr>
          <w:p w:rsidR="004E291E" w:rsidRDefault="004E291E" w:rsidP="004E291E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Proszę o potwierdzenie że 13.11.2020 Zamawiający oczekuje złożenia tylko Wniosku o dopuszczenie do udziału w negocjacjach tj. załącznik nr 2. Załącznik nr 3 będzie wymagany do złożenia po przeprowadzonych negocjacjach i uszczegółowieniu zakresu zamówienia. Na obecnym etapie, nie jest bowiem możliwe przygotowanie oferty cenowej, bez uzyskania odpowiedzi na postawione powyżej pytania. </w:t>
            </w:r>
          </w:p>
          <w:p w:rsidR="00DD7639" w:rsidRDefault="00DD7639" w:rsidP="009C1D2C">
            <w:pPr>
              <w:rPr>
                <w:rFonts w:cs="Calibri"/>
                <w:szCs w:val="20"/>
              </w:rPr>
            </w:pPr>
            <w:r w:rsidRPr="009C1D2C">
              <w:rPr>
                <w:rFonts w:cs="Calibri"/>
                <w:color w:val="1F497D" w:themeColor="text2"/>
                <w:szCs w:val="20"/>
              </w:rPr>
              <w:t>Tak, zamawiający do 13.11.2020 oczekuje złożenia wniosku o dopuszczenie do udziału w negocjacjach (załącznik nr 2), co nie wywołuje</w:t>
            </w:r>
            <w:r w:rsidR="009C1D2C">
              <w:rPr>
                <w:rFonts w:cs="Calibri"/>
                <w:color w:val="1F497D" w:themeColor="text2"/>
                <w:szCs w:val="20"/>
              </w:rPr>
              <w:t xml:space="preserve"> na tym etapie</w:t>
            </w:r>
            <w:r w:rsidRPr="009C1D2C">
              <w:rPr>
                <w:rFonts w:cs="Calibri"/>
                <w:color w:val="1F497D" w:themeColor="text2"/>
                <w:szCs w:val="20"/>
              </w:rPr>
              <w:t xml:space="preserve"> żadnych zobowiązań po stronie</w:t>
            </w:r>
            <w:r w:rsidR="009C1D2C" w:rsidRPr="009C1D2C">
              <w:rPr>
                <w:rFonts w:cs="Calibri"/>
                <w:color w:val="1F497D" w:themeColor="text2"/>
                <w:szCs w:val="20"/>
              </w:rPr>
              <w:t xml:space="preserve"> potencjalnego Wykonawcy</w:t>
            </w:r>
            <w:r w:rsidR="009C1D2C">
              <w:rPr>
                <w:rFonts w:cs="Calibri"/>
                <w:color w:val="1F497D" w:themeColor="text2"/>
                <w:szCs w:val="20"/>
              </w:rPr>
              <w:t>.</w:t>
            </w:r>
            <w:r>
              <w:rPr>
                <w:rFonts w:cs="Calibri"/>
                <w:szCs w:val="20"/>
              </w:rPr>
              <w:t xml:space="preserve">  </w:t>
            </w:r>
          </w:p>
        </w:tc>
      </w:tr>
    </w:tbl>
    <w:p w:rsidR="00532B4E" w:rsidRPr="00455829" w:rsidRDefault="00532B4E">
      <w:pPr>
        <w:rPr>
          <w:szCs w:val="20"/>
        </w:rPr>
      </w:pPr>
    </w:p>
    <w:sectPr w:rsidR="00532B4E" w:rsidRPr="0045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5F" w:rsidRDefault="0081155F" w:rsidP="007A3DF6">
      <w:pPr>
        <w:spacing w:after="0" w:line="240" w:lineRule="auto"/>
      </w:pPr>
      <w:r>
        <w:separator/>
      </w:r>
    </w:p>
  </w:endnote>
  <w:endnote w:type="continuationSeparator" w:id="0">
    <w:p w:rsidR="0081155F" w:rsidRDefault="0081155F" w:rsidP="007A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5F" w:rsidRDefault="0081155F" w:rsidP="007A3DF6">
      <w:pPr>
        <w:spacing w:after="0" w:line="240" w:lineRule="auto"/>
      </w:pPr>
      <w:r>
        <w:separator/>
      </w:r>
    </w:p>
  </w:footnote>
  <w:footnote w:type="continuationSeparator" w:id="0">
    <w:p w:rsidR="0081155F" w:rsidRDefault="0081155F" w:rsidP="007A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B8"/>
    <w:multiLevelType w:val="hybridMultilevel"/>
    <w:tmpl w:val="4BB2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186"/>
    <w:multiLevelType w:val="hybridMultilevel"/>
    <w:tmpl w:val="854AE2BC"/>
    <w:lvl w:ilvl="0" w:tplc="D1F677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8117A"/>
    <w:multiLevelType w:val="hybridMultilevel"/>
    <w:tmpl w:val="6B72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567"/>
    <w:multiLevelType w:val="hybridMultilevel"/>
    <w:tmpl w:val="2AE2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45B"/>
    <w:multiLevelType w:val="hybridMultilevel"/>
    <w:tmpl w:val="47981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D6ACD"/>
    <w:multiLevelType w:val="hybridMultilevel"/>
    <w:tmpl w:val="0A86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473D"/>
    <w:multiLevelType w:val="hybridMultilevel"/>
    <w:tmpl w:val="7EB6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255"/>
    <w:multiLevelType w:val="multilevel"/>
    <w:tmpl w:val="9F642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12760"/>
    <w:multiLevelType w:val="hybridMultilevel"/>
    <w:tmpl w:val="7C58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70CE"/>
    <w:multiLevelType w:val="hybridMultilevel"/>
    <w:tmpl w:val="B9F21DE4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5525271C"/>
    <w:multiLevelType w:val="hybridMultilevel"/>
    <w:tmpl w:val="4CBAD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D7E78"/>
    <w:multiLevelType w:val="multilevel"/>
    <w:tmpl w:val="BD8E8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EC5637"/>
    <w:multiLevelType w:val="hybridMultilevel"/>
    <w:tmpl w:val="933E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402C"/>
    <w:multiLevelType w:val="hybridMultilevel"/>
    <w:tmpl w:val="306C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283E"/>
    <w:multiLevelType w:val="hybridMultilevel"/>
    <w:tmpl w:val="D368B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278E9"/>
    <w:multiLevelType w:val="hybridMultilevel"/>
    <w:tmpl w:val="CD30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514D8"/>
    <w:multiLevelType w:val="hybridMultilevel"/>
    <w:tmpl w:val="1DB4E17A"/>
    <w:lvl w:ilvl="0" w:tplc="B56EB0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53831"/>
    <w:multiLevelType w:val="hybridMultilevel"/>
    <w:tmpl w:val="854AE2BC"/>
    <w:lvl w:ilvl="0" w:tplc="D1F677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D"/>
    <w:rsid w:val="000020D9"/>
    <w:rsid w:val="00006459"/>
    <w:rsid w:val="00011FEC"/>
    <w:rsid w:val="00043433"/>
    <w:rsid w:val="00053AA1"/>
    <w:rsid w:val="00062D1F"/>
    <w:rsid w:val="00086A5C"/>
    <w:rsid w:val="000B1F38"/>
    <w:rsid w:val="000B2AC5"/>
    <w:rsid w:val="000E72D4"/>
    <w:rsid w:val="000F2058"/>
    <w:rsid w:val="00101196"/>
    <w:rsid w:val="00110ED9"/>
    <w:rsid w:val="00140B04"/>
    <w:rsid w:val="001514A0"/>
    <w:rsid w:val="00167E94"/>
    <w:rsid w:val="001752F1"/>
    <w:rsid w:val="001B2217"/>
    <w:rsid w:val="001D7FE8"/>
    <w:rsid w:val="001E05B0"/>
    <w:rsid w:val="0022003D"/>
    <w:rsid w:val="002259DF"/>
    <w:rsid w:val="00235753"/>
    <w:rsid w:val="00235E1C"/>
    <w:rsid w:val="002404FD"/>
    <w:rsid w:val="00245D8B"/>
    <w:rsid w:val="00246890"/>
    <w:rsid w:val="002B7F60"/>
    <w:rsid w:val="002F0566"/>
    <w:rsid w:val="002F0D1A"/>
    <w:rsid w:val="00327962"/>
    <w:rsid w:val="0038542A"/>
    <w:rsid w:val="003938CC"/>
    <w:rsid w:val="003B4EBA"/>
    <w:rsid w:val="003D2D5A"/>
    <w:rsid w:val="00412209"/>
    <w:rsid w:val="00423B8F"/>
    <w:rsid w:val="0042416E"/>
    <w:rsid w:val="004318B8"/>
    <w:rsid w:val="00455829"/>
    <w:rsid w:val="0046305C"/>
    <w:rsid w:val="00467716"/>
    <w:rsid w:val="00470AFC"/>
    <w:rsid w:val="00473760"/>
    <w:rsid w:val="00473DF5"/>
    <w:rsid w:val="00484756"/>
    <w:rsid w:val="00486CDC"/>
    <w:rsid w:val="004E291E"/>
    <w:rsid w:val="004E7232"/>
    <w:rsid w:val="00532B4E"/>
    <w:rsid w:val="00535126"/>
    <w:rsid w:val="0057294C"/>
    <w:rsid w:val="00573FAF"/>
    <w:rsid w:val="00580ADA"/>
    <w:rsid w:val="00583F16"/>
    <w:rsid w:val="00596BA1"/>
    <w:rsid w:val="005A1B83"/>
    <w:rsid w:val="005C1F31"/>
    <w:rsid w:val="005D349E"/>
    <w:rsid w:val="005F1AAB"/>
    <w:rsid w:val="00620784"/>
    <w:rsid w:val="00635897"/>
    <w:rsid w:val="00667B33"/>
    <w:rsid w:val="0067402D"/>
    <w:rsid w:val="00687CA7"/>
    <w:rsid w:val="006A368D"/>
    <w:rsid w:val="006A67C2"/>
    <w:rsid w:val="006A73D7"/>
    <w:rsid w:val="006B6CA7"/>
    <w:rsid w:val="006D73D9"/>
    <w:rsid w:val="006E16E4"/>
    <w:rsid w:val="006F5504"/>
    <w:rsid w:val="00701FA3"/>
    <w:rsid w:val="0070272C"/>
    <w:rsid w:val="00712342"/>
    <w:rsid w:val="00714009"/>
    <w:rsid w:val="00720F5C"/>
    <w:rsid w:val="0073049E"/>
    <w:rsid w:val="00743AC8"/>
    <w:rsid w:val="007552AF"/>
    <w:rsid w:val="00756639"/>
    <w:rsid w:val="0076296D"/>
    <w:rsid w:val="00762D90"/>
    <w:rsid w:val="00765FCA"/>
    <w:rsid w:val="00770708"/>
    <w:rsid w:val="0077404F"/>
    <w:rsid w:val="00795036"/>
    <w:rsid w:val="007A3DF6"/>
    <w:rsid w:val="007B15EF"/>
    <w:rsid w:val="007C1271"/>
    <w:rsid w:val="007E0C9D"/>
    <w:rsid w:val="008037FA"/>
    <w:rsid w:val="0081003B"/>
    <w:rsid w:val="0081155F"/>
    <w:rsid w:val="0081371F"/>
    <w:rsid w:val="00846C1D"/>
    <w:rsid w:val="00854A60"/>
    <w:rsid w:val="00876BDF"/>
    <w:rsid w:val="008901C2"/>
    <w:rsid w:val="008A10D2"/>
    <w:rsid w:val="008A4C0E"/>
    <w:rsid w:val="008B59F3"/>
    <w:rsid w:val="008D239F"/>
    <w:rsid w:val="008D36B8"/>
    <w:rsid w:val="008D65A8"/>
    <w:rsid w:val="008E7EF7"/>
    <w:rsid w:val="008F6876"/>
    <w:rsid w:val="008F730F"/>
    <w:rsid w:val="00923527"/>
    <w:rsid w:val="009267F3"/>
    <w:rsid w:val="00937A74"/>
    <w:rsid w:val="009408B1"/>
    <w:rsid w:val="00940AB7"/>
    <w:rsid w:val="00945F6F"/>
    <w:rsid w:val="00960FEE"/>
    <w:rsid w:val="009773BE"/>
    <w:rsid w:val="0099190C"/>
    <w:rsid w:val="009A3373"/>
    <w:rsid w:val="009B0E19"/>
    <w:rsid w:val="009B3581"/>
    <w:rsid w:val="009C1D2C"/>
    <w:rsid w:val="009D13EB"/>
    <w:rsid w:val="009F7A32"/>
    <w:rsid w:val="00A017D9"/>
    <w:rsid w:val="00A546BE"/>
    <w:rsid w:val="00A62023"/>
    <w:rsid w:val="00A73CFC"/>
    <w:rsid w:val="00A75A16"/>
    <w:rsid w:val="00AA5E44"/>
    <w:rsid w:val="00AC2BC5"/>
    <w:rsid w:val="00AC674C"/>
    <w:rsid w:val="00AD1C41"/>
    <w:rsid w:val="00AE0558"/>
    <w:rsid w:val="00AF4B1C"/>
    <w:rsid w:val="00B1703E"/>
    <w:rsid w:val="00B20410"/>
    <w:rsid w:val="00B27DFE"/>
    <w:rsid w:val="00B54E09"/>
    <w:rsid w:val="00B75516"/>
    <w:rsid w:val="00BA43BB"/>
    <w:rsid w:val="00BA69D8"/>
    <w:rsid w:val="00BC5E93"/>
    <w:rsid w:val="00BD224E"/>
    <w:rsid w:val="00BD4526"/>
    <w:rsid w:val="00BE114A"/>
    <w:rsid w:val="00BF27BF"/>
    <w:rsid w:val="00BF6BEC"/>
    <w:rsid w:val="00C36CC7"/>
    <w:rsid w:val="00C5488C"/>
    <w:rsid w:val="00CA72F9"/>
    <w:rsid w:val="00CB33DA"/>
    <w:rsid w:val="00CE5049"/>
    <w:rsid w:val="00CE5800"/>
    <w:rsid w:val="00CE6C5E"/>
    <w:rsid w:val="00CF6283"/>
    <w:rsid w:val="00D25206"/>
    <w:rsid w:val="00D2552C"/>
    <w:rsid w:val="00D367FB"/>
    <w:rsid w:val="00D73DE9"/>
    <w:rsid w:val="00D803FD"/>
    <w:rsid w:val="00D82D02"/>
    <w:rsid w:val="00DA6D01"/>
    <w:rsid w:val="00DB0465"/>
    <w:rsid w:val="00DC1237"/>
    <w:rsid w:val="00DD7639"/>
    <w:rsid w:val="00E11D44"/>
    <w:rsid w:val="00E31146"/>
    <w:rsid w:val="00E674D1"/>
    <w:rsid w:val="00E749F6"/>
    <w:rsid w:val="00E7549D"/>
    <w:rsid w:val="00E75669"/>
    <w:rsid w:val="00E7603E"/>
    <w:rsid w:val="00E875DE"/>
    <w:rsid w:val="00EC0DDB"/>
    <w:rsid w:val="00EC3837"/>
    <w:rsid w:val="00EC5F91"/>
    <w:rsid w:val="00EC68CD"/>
    <w:rsid w:val="00EF41B2"/>
    <w:rsid w:val="00F24049"/>
    <w:rsid w:val="00F36935"/>
    <w:rsid w:val="00F47C2F"/>
    <w:rsid w:val="00F56DAA"/>
    <w:rsid w:val="00F621F4"/>
    <w:rsid w:val="00F62D3E"/>
    <w:rsid w:val="00F844D6"/>
    <w:rsid w:val="00FA1DEA"/>
    <w:rsid w:val="00FA4F4B"/>
    <w:rsid w:val="00FC5D79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10BC"/>
  <w15:docId w15:val="{B02B9985-3FAA-48E3-8047-842AEC0E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7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F6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F6"/>
    <w:rPr>
      <w:vertAlign w:val="superscript"/>
    </w:rPr>
  </w:style>
  <w:style w:type="paragraph" w:styleId="Tekstpodstawowy2">
    <w:name w:val="Body Text 2"/>
    <w:basedOn w:val="Normalny"/>
    <w:link w:val="Tekstpodstawowy2Znak"/>
    <w:rsid w:val="00BC5E93"/>
    <w:pPr>
      <w:widowControl w:val="0"/>
      <w:suppressAutoHyphens/>
      <w:adjustRightInd w:val="0"/>
      <w:spacing w:before="120" w:after="0" w:line="360" w:lineRule="atLeast"/>
      <w:jc w:val="both"/>
      <w:textAlignment w:val="baseline"/>
    </w:pPr>
    <w:rPr>
      <w:rFonts w:ascii="Arial" w:eastAsia="Times New Roman" w:hAnsi="Arial" w:cs="Times New Roman"/>
      <w:color w:val="FF0000"/>
      <w:szCs w:val="20"/>
      <w:lang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BC5E93"/>
    <w:rPr>
      <w:rFonts w:ascii="Arial" w:eastAsia="Times New Roman" w:hAnsi="Arial" w:cs="Times New Roman"/>
      <w:color w:val="FF0000"/>
      <w:szCs w:val="20"/>
      <w:lang w:eastAsia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D8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D8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8B"/>
    <w:rPr>
      <w:b/>
      <w:bCs/>
      <w:szCs w:val="20"/>
    </w:rPr>
  </w:style>
  <w:style w:type="paragraph" w:styleId="Poprawka">
    <w:name w:val="Revision"/>
    <w:hidden/>
    <w:uiPriority w:val="99"/>
    <w:semiHidden/>
    <w:rsid w:val="00245D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3F16"/>
    <w:pPr>
      <w:spacing w:after="0" w:line="240" w:lineRule="auto"/>
      <w:ind w:left="720"/>
    </w:pPr>
    <w:rPr>
      <w:rFonts w:eastAsia="Times New Roman" w:cs="Times New Roman"/>
      <w:color w:val="555555"/>
      <w:sz w:val="22"/>
      <w:lang w:eastAsia="pl-PL"/>
    </w:rPr>
  </w:style>
  <w:style w:type="paragraph" w:customStyle="1" w:styleId="nagwek">
    <w:name w:val="nagłówek"/>
    <w:basedOn w:val="Tekstpodstawowy"/>
    <w:link w:val="nagwekZnak"/>
    <w:qFormat/>
    <w:rsid w:val="00743AC8"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 w:cs="Times New Roman"/>
      <w:b/>
      <w:color w:val="27A538"/>
      <w:spacing w:val="-22"/>
      <w:sz w:val="36"/>
      <w:szCs w:val="36"/>
      <w:lang w:val="x-none" w:eastAsia="ar-SA"/>
    </w:rPr>
  </w:style>
  <w:style w:type="character" w:customStyle="1" w:styleId="nagwekZnak">
    <w:name w:val="nagłówek Znak"/>
    <w:link w:val="nagwek"/>
    <w:rsid w:val="00743AC8"/>
    <w:rPr>
      <w:rFonts w:ascii="Arial" w:eastAsia="SimSun" w:hAnsi="Arial" w:cs="Times New Roman"/>
      <w:b/>
      <w:color w:val="27A538"/>
      <w:spacing w:val="-22"/>
      <w:sz w:val="36"/>
      <w:szCs w:val="3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3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3AC8"/>
  </w:style>
  <w:style w:type="paragraph" w:customStyle="1" w:styleId="tekst">
    <w:name w:val="tekst"/>
    <w:basedOn w:val="Tekstpodstawowy"/>
    <w:link w:val="tekstZnak"/>
    <w:qFormat/>
    <w:rsid w:val="00EC3837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 w:cs="Times New Roman"/>
      <w:bCs/>
      <w:color w:val="595959"/>
      <w:spacing w:val="-4"/>
      <w:szCs w:val="20"/>
      <w:lang w:val="x-none" w:eastAsia="ar-SA"/>
    </w:rPr>
  </w:style>
  <w:style w:type="character" w:customStyle="1" w:styleId="tekstZnak">
    <w:name w:val="tekst Znak"/>
    <w:link w:val="tekst"/>
    <w:rsid w:val="00EC3837"/>
    <w:rPr>
      <w:rFonts w:ascii="Arial" w:eastAsia="SimSun" w:hAnsi="Arial" w:cs="Times New Roman"/>
      <w:bCs/>
      <w:color w:val="595959"/>
      <w:spacing w:val="-4"/>
      <w:szCs w:val="20"/>
      <w:lang w:val="x-none" w:eastAsia="ar-SA"/>
    </w:rPr>
  </w:style>
  <w:style w:type="paragraph" w:customStyle="1" w:styleId="Default">
    <w:name w:val="Default"/>
    <w:rsid w:val="00FD5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0">
    <w:name w:val="header"/>
    <w:basedOn w:val="Normalny"/>
    <w:link w:val="NagwekZnak0"/>
    <w:uiPriority w:val="99"/>
    <w:unhideWhenUsed/>
    <w:rsid w:val="0097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9773BE"/>
  </w:style>
  <w:style w:type="paragraph" w:styleId="Stopka">
    <w:name w:val="footer"/>
    <w:basedOn w:val="Normalny"/>
    <w:link w:val="StopkaZnak"/>
    <w:uiPriority w:val="99"/>
    <w:unhideWhenUsed/>
    <w:rsid w:val="0097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Roguska Agnieszka (Centrala PZUSA)</dc:creator>
  <cp:lastModifiedBy>Socha Dariusz</cp:lastModifiedBy>
  <cp:revision>5</cp:revision>
  <cp:lastPrinted>2019-08-08T12:05:00Z</cp:lastPrinted>
  <dcterms:created xsi:type="dcterms:W3CDTF">2020-11-10T14:22:00Z</dcterms:created>
  <dcterms:modified xsi:type="dcterms:W3CDTF">2020-11-10T14:30:00Z</dcterms:modified>
</cp:coreProperties>
</file>